
<file path=[Content_Types].xml><?xml version="1.0" encoding="utf-8"?>
<Types xmlns="http://schemas.openxmlformats.org/package/2006/content-types">
  <Default Extension="xml" ContentType="application/xml"/>
  <Default Extension="bmp" ContentType="image/bmp"/>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20" w:lineRule="exact"/>
        <w:textAlignment w:val="auto"/>
        <w:rPr>
          <w:rFonts w:ascii="仿宋_GB2312" w:eastAsia="仿宋_GB2312"/>
          <w:sz w:val="32"/>
          <w:szCs w:val="32"/>
        </w:rPr>
      </w:pPr>
    </w:p>
    <w:p>
      <w:pPr>
        <w:pStyle w:val="2"/>
      </w:pPr>
    </w:p>
    <w:p>
      <w:pPr>
        <w:keepNext w:val="0"/>
        <w:keepLines w:val="0"/>
        <w:pageBreakBefore w:val="0"/>
        <w:widowControl w:val="0"/>
        <w:kinsoku/>
        <w:wordWrap/>
        <w:overflowPunct/>
        <w:topLinePunct w:val="0"/>
        <w:autoSpaceDE/>
        <w:autoSpaceDN/>
        <w:bidi w:val="0"/>
        <w:adjustRightInd/>
        <w:snapToGrid/>
        <w:spacing w:line="800" w:lineRule="exact"/>
        <w:textAlignment w:val="auto"/>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620" w:lineRule="exact"/>
        <w:textAlignment w:val="auto"/>
        <w:rPr>
          <w:rFonts w:ascii="仿宋_GB2312" w:hAnsi="仿宋_GB2312" w:eastAsia="仿宋_GB2312" w:cs="仿宋_GB2312"/>
          <w:sz w:val="32"/>
          <w:szCs w:val="32"/>
        </w:rPr>
      </w:pPr>
      <w:r>
        <w:rPr>
          <w:rFonts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sz w:val="32"/>
          <w:szCs w:val="32"/>
          <w:lang w:val="en-US" w:eastAsia="zh-CN"/>
        </w:rPr>
        <w:t xml:space="preserve">  </w:t>
      </w:r>
      <w:r>
        <w:rPr>
          <w:rFonts w:ascii="仿宋_GB2312" w:eastAsia="仿宋_GB2312"/>
          <w:sz w:val="32"/>
          <w:szCs w:val="32"/>
        </w:rPr>
        <w:t xml:space="preserve"> </w:t>
      </w:r>
      <w:r>
        <w:rPr>
          <w:rFonts w:hint="eastAsia" w:ascii="仿宋_GB2312" w:hAnsi="仿宋_GB2312" w:eastAsia="仿宋_GB2312" w:cs="仿宋_GB2312"/>
          <w:sz w:val="32"/>
          <w:szCs w:val="32"/>
        </w:rPr>
        <w:t>昭</w:t>
      </w:r>
      <w:r>
        <w:rPr>
          <w:rFonts w:hint="eastAsia" w:ascii="仿宋_GB2312" w:hAnsi="仿宋_GB2312" w:eastAsia="仿宋_GB2312" w:cs="仿宋_GB2312"/>
          <w:sz w:val="32"/>
          <w:szCs w:val="32"/>
          <w:lang w:eastAsia="zh-CN"/>
        </w:rPr>
        <w:t>市监</w:t>
      </w:r>
      <w:r>
        <w:rPr>
          <w:rFonts w:hint="eastAsia" w:ascii="仿宋_GB2312" w:hAnsi="仿宋_GB2312" w:eastAsia="仿宋_GB2312" w:cs="仿宋_GB2312"/>
          <w:sz w:val="32"/>
          <w:szCs w:val="32"/>
        </w:rPr>
        <w:t>函〔</w:t>
      </w:r>
      <w:r>
        <w:rPr>
          <w:rFonts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号</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hAnsi="仿宋_GB2312" w:eastAsia="仿宋_GB2312" w:cs="仿宋_GB2312"/>
          <w:sz w:val="32"/>
          <w:szCs w:val="32"/>
        </w:rPr>
      </w:pPr>
    </w:p>
    <w:p>
      <w:pPr>
        <w:pStyle w:val="2"/>
        <w:keepNext w:val="0"/>
        <w:keepLines w:val="0"/>
        <w:pageBreakBefore w:val="0"/>
        <w:widowControl w:val="0"/>
        <w:kinsoku/>
        <w:wordWrap/>
        <w:overflowPunct/>
        <w:topLinePunct w:val="0"/>
        <w:autoSpaceDE/>
        <w:autoSpaceDN/>
        <w:bidi w:val="0"/>
        <w:adjustRightInd/>
        <w:snapToGrid/>
        <w:spacing w:line="400" w:lineRule="exact"/>
        <w:ind w:firstLine="420"/>
        <w:textAlignment w:val="auto"/>
      </w:pPr>
    </w:p>
    <w:p>
      <w:pPr>
        <w:keepNext w:val="0"/>
        <w:keepLines w:val="0"/>
        <w:pageBreakBefore w:val="0"/>
        <w:widowControl/>
        <w:suppressLineNumbers w:val="0"/>
        <w:kinsoku/>
        <w:wordWrap/>
        <w:overflowPunct/>
        <w:topLinePunct w:val="0"/>
        <w:autoSpaceDN/>
        <w:bidi w:val="0"/>
        <w:adjustRightInd/>
        <w:snapToGrid w:val="0"/>
        <w:spacing w:before="0" w:beforeAutospacing="0" w:after="0" w:afterAutospacing="0" w:line="576" w:lineRule="exact"/>
        <w:ind w:right="696"/>
        <w:jc w:val="center"/>
        <w:textAlignment w:val="auto"/>
      </w:pPr>
      <w:r>
        <w:rPr>
          <w:rFonts w:ascii="方正小标宋简体" w:hAnsi="方正小标宋简体" w:eastAsia="方正小标宋简体" w:cs="方正小标宋简体"/>
          <w:kern w:val="2"/>
          <w:sz w:val="44"/>
          <w:szCs w:val="44"/>
          <w:shd w:val="clear" w:fill="FFFFFF"/>
          <w:lang w:val="en-US" w:eastAsia="zh-CN" w:bidi="ar"/>
        </w:rPr>
        <w:t>广元市</w:t>
      </w:r>
      <w:r>
        <w:rPr>
          <w:rFonts w:hint="eastAsia" w:ascii="方正小标宋简体" w:hAnsi="方正小标宋简体" w:eastAsia="方正小标宋简体" w:cs="方正小标宋简体"/>
          <w:kern w:val="2"/>
          <w:sz w:val="44"/>
          <w:szCs w:val="44"/>
          <w:shd w:val="clear" w:fill="FFFFFF"/>
          <w:lang w:val="en-US" w:eastAsia="zh-CN" w:bidi="ar"/>
        </w:rPr>
        <w:t>昭化区</w:t>
      </w:r>
      <w:r>
        <w:rPr>
          <w:rFonts w:ascii="方正小标宋简体" w:hAnsi="方正小标宋简体" w:eastAsia="方正小标宋简体" w:cs="方正小标宋简体"/>
          <w:kern w:val="2"/>
          <w:sz w:val="44"/>
          <w:szCs w:val="44"/>
          <w:shd w:val="clear" w:fill="FFFFFF"/>
          <w:lang w:val="en-US" w:eastAsia="zh-CN" w:bidi="ar"/>
        </w:rPr>
        <w:t>市场监督管理局</w:t>
      </w:r>
    </w:p>
    <w:p>
      <w:pPr>
        <w:keepNext w:val="0"/>
        <w:keepLines w:val="0"/>
        <w:pageBreakBefore w:val="0"/>
        <w:widowControl/>
        <w:suppressLineNumbers w:val="0"/>
        <w:kinsoku/>
        <w:wordWrap/>
        <w:overflowPunct/>
        <w:topLinePunct w:val="0"/>
        <w:autoSpaceDN/>
        <w:bidi w:val="0"/>
        <w:adjustRightInd/>
        <w:snapToGrid w:val="0"/>
        <w:spacing w:before="0" w:beforeAutospacing="0" w:after="0" w:afterAutospacing="0" w:line="576" w:lineRule="exact"/>
        <w:ind w:left="1984" w:leftChars="0" w:right="-314" w:rightChars="0" w:hanging="1984" w:hangingChars="451"/>
        <w:jc w:val="center"/>
        <w:textAlignment w:val="auto"/>
        <w:rPr>
          <w:rFonts w:hint="default" w:ascii="方正小标宋简体" w:hAnsi="宋体" w:eastAsia="方正小标宋简体" w:cs="方正小标宋简体"/>
          <w:kern w:val="2"/>
          <w:sz w:val="44"/>
          <w:szCs w:val="44"/>
          <w:shd w:val="clear" w:fill="FFFFFF"/>
          <w:lang w:val="en-US" w:eastAsia="zh-CN" w:bidi="ar"/>
        </w:rPr>
      </w:pPr>
      <w:r>
        <w:rPr>
          <w:rFonts w:hint="default" w:ascii="方正小标宋简体" w:hAnsi="方正小标宋简体" w:eastAsia="方正小标宋简体" w:cs="方正小标宋简体"/>
          <w:kern w:val="2"/>
          <w:sz w:val="44"/>
          <w:szCs w:val="44"/>
          <w:shd w:val="clear" w:fill="FFFFFF"/>
          <w:lang w:val="en-US" w:eastAsia="zh-CN" w:bidi="ar"/>
        </w:rPr>
        <w:t>关于印发</w:t>
      </w:r>
      <w:r>
        <w:rPr>
          <w:rFonts w:hint="default" w:ascii="方正小标宋简体" w:hAnsi="宋体" w:eastAsia="方正小标宋简体" w:cs="方正小标宋简体"/>
          <w:kern w:val="2"/>
          <w:sz w:val="44"/>
          <w:szCs w:val="44"/>
          <w:shd w:val="clear" w:fill="FFFFFF"/>
          <w:lang w:val="en-US" w:eastAsia="zh-CN" w:bidi="ar"/>
        </w:rPr>
        <w:t>2021年度“双随机、一公开”</w:t>
      </w:r>
    </w:p>
    <w:p>
      <w:pPr>
        <w:keepNext w:val="0"/>
        <w:keepLines w:val="0"/>
        <w:pageBreakBefore w:val="0"/>
        <w:widowControl/>
        <w:suppressLineNumbers w:val="0"/>
        <w:kinsoku/>
        <w:wordWrap/>
        <w:overflowPunct/>
        <w:topLinePunct w:val="0"/>
        <w:autoSpaceDN/>
        <w:bidi w:val="0"/>
        <w:adjustRightInd/>
        <w:snapToGrid w:val="0"/>
        <w:spacing w:before="0" w:beforeAutospacing="0" w:after="0" w:afterAutospacing="0" w:line="576" w:lineRule="exact"/>
        <w:ind w:right="-314" w:rightChars="0" w:firstLine="880" w:firstLineChars="200"/>
        <w:jc w:val="left"/>
        <w:textAlignment w:val="auto"/>
      </w:pPr>
      <w:r>
        <w:rPr>
          <w:rFonts w:hint="default" w:ascii="方正小标宋简体" w:hAnsi="方正小标宋简体" w:eastAsia="方正小标宋简体" w:cs="方正小标宋简体"/>
          <w:kern w:val="2"/>
          <w:sz w:val="44"/>
          <w:szCs w:val="44"/>
          <w:shd w:val="clear" w:fill="FFFFFF"/>
          <w:lang w:val="en-US" w:eastAsia="zh-CN" w:bidi="ar"/>
        </w:rPr>
        <w:t>监</w:t>
      </w:r>
      <w:r>
        <w:rPr>
          <w:rFonts w:hint="eastAsia" w:ascii="方正小标宋简体" w:hAnsi="方正小标宋简体" w:eastAsia="方正小标宋简体" w:cs="方正小标宋简体"/>
          <w:kern w:val="2"/>
          <w:sz w:val="44"/>
          <w:szCs w:val="44"/>
          <w:shd w:val="clear" w:fill="FFFFFF"/>
          <w:lang w:val="en-US" w:eastAsia="zh-CN" w:bidi="ar"/>
        </w:rPr>
        <w:t>管</w:t>
      </w:r>
      <w:r>
        <w:rPr>
          <w:rFonts w:hint="default" w:ascii="方正小标宋简体" w:hAnsi="方正小标宋简体" w:eastAsia="方正小标宋简体" w:cs="方正小标宋简体"/>
          <w:kern w:val="2"/>
          <w:sz w:val="44"/>
          <w:szCs w:val="44"/>
          <w:shd w:val="clear" w:fill="FFFFFF"/>
          <w:lang w:val="en-US" w:eastAsia="zh-CN" w:bidi="ar"/>
        </w:rPr>
        <w:t>工作计划</w:t>
      </w:r>
      <w:r>
        <w:rPr>
          <w:rFonts w:hint="eastAsia" w:ascii="方正小标宋简体" w:hAnsi="方正小标宋简体" w:eastAsia="方正小标宋简体" w:cs="方正小标宋简体"/>
          <w:kern w:val="2"/>
          <w:sz w:val="44"/>
          <w:szCs w:val="44"/>
          <w:shd w:val="clear" w:fill="FFFFFF"/>
          <w:lang w:val="en-US" w:eastAsia="zh-CN" w:bidi="ar"/>
        </w:rPr>
        <w:t>和</w:t>
      </w:r>
      <w:r>
        <w:rPr>
          <w:rFonts w:hint="default" w:ascii="方正小标宋简体" w:hAnsi="方正小标宋简体" w:eastAsia="方正小标宋简体" w:cs="方正小标宋简体"/>
          <w:color w:val="000000"/>
          <w:kern w:val="2"/>
          <w:sz w:val="44"/>
          <w:szCs w:val="44"/>
          <w:shd w:val="clear" w:fill="FFFFFF"/>
          <w:lang w:val="en-US" w:eastAsia="zh-CN" w:bidi="ar"/>
        </w:rPr>
        <w:t>工作细则</w:t>
      </w:r>
      <w:r>
        <w:rPr>
          <w:rFonts w:hint="default" w:ascii="方正小标宋简体" w:hAnsi="方正小标宋简体" w:eastAsia="方正小标宋简体" w:cs="方正小标宋简体"/>
          <w:kern w:val="2"/>
          <w:sz w:val="44"/>
          <w:szCs w:val="44"/>
          <w:shd w:val="clear" w:fill="FFFFFF"/>
          <w:lang w:val="en-US" w:eastAsia="zh-CN" w:bidi="ar"/>
        </w:rPr>
        <w:t>的通知</w:t>
      </w:r>
    </w:p>
    <w:p>
      <w:pPr>
        <w:keepNext w:val="0"/>
        <w:keepLines w:val="0"/>
        <w:pageBreakBefore w:val="0"/>
        <w:widowControl w:val="0"/>
        <w:suppressLineNumbers w:val="0"/>
        <w:kinsoku/>
        <w:wordWrap/>
        <w:overflowPunct/>
        <w:topLinePunct w:val="0"/>
        <w:autoSpaceDE w:val="0"/>
        <w:autoSpaceDN/>
        <w:bidi w:val="0"/>
        <w:adjustRightInd/>
        <w:snapToGrid w:val="0"/>
        <w:spacing w:before="0" w:beforeAutospacing="0" w:after="0" w:afterAutospacing="0" w:line="576" w:lineRule="exact"/>
        <w:ind w:left="696" w:right="696" w:firstLine="420" w:firstLineChars="200"/>
        <w:jc w:val="both"/>
        <w:textAlignment w:val="auto"/>
      </w:pPr>
    </w:p>
    <w:p>
      <w:pPr>
        <w:keepNext w:val="0"/>
        <w:keepLines w:val="0"/>
        <w:pageBreakBefore w:val="0"/>
        <w:widowControl w:val="0"/>
        <w:suppressLineNumbers w:val="0"/>
        <w:kinsoku/>
        <w:wordWrap/>
        <w:overflowPunct/>
        <w:topLinePunct w:val="0"/>
        <w:autoSpaceDE w:val="0"/>
        <w:autoSpaceDN/>
        <w:bidi w:val="0"/>
        <w:adjustRightInd/>
        <w:snapToGrid w:val="0"/>
        <w:spacing w:before="0" w:beforeAutospacing="0" w:after="0" w:afterAutospacing="0" w:line="576" w:lineRule="exact"/>
        <w:ind w:left="694" w:leftChars="0" w:right="-94" w:rightChars="0" w:hanging="694" w:hangingChars="217"/>
        <w:jc w:val="left"/>
        <w:textAlignment w:val="auto"/>
      </w:pPr>
      <w:r>
        <w:rPr>
          <w:rFonts w:hint="default" w:ascii="仿宋_GB2312" w:eastAsia="仿宋_GB2312" w:cs="仿宋_GB2312" w:hAnsiTheme="minorHAnsi"/>
          <w:kern w:val="2"/>
          <w:sz w:val="32"/>
          <w:szCs w:val="32"/>
          <w:shd w:val="clear" w:fill="FFFFFF"/>
          <w:lang w:val="en-US" w:eastAsia="zh-CN" w:bidi="ar"/>
        </w:rPr>
        <w:t>各</w:t>
      </w:r>
      <w:r>
        <w:rPr>
          <w:rFonts w:hint="eastAsia" w:ascii="仿宋_GB2312" w:eastAsia="仿宋_GB2312" w:cs="仿宋_GB2312"/>
          <w:kern w:val="2"/>
          <w:sz w:val="32"/>
          <w:szCs w:val="32"/>
          <w:shd w:val="clear" w:fill="FFFFFF"/>
          <w:lang w:val="en-US" w:eastAsia="zh-CN" w:bidi="ar"/>
        </w:rPr>
        <w:t>基层监管所，机关各部门：</w:t>
      </w:r>
    </w:p>
    <w:p>
      <w:pPr>
        <w:keepNext w:val="0"/>
        <w:keepLines w:val="0"/>
        <w:pageBreakBefore w:val="0"/>
        <w:widowControl w:val="0"/>
        <w:suppressLineNumbers w:val="0"/>
        <w:kinsoku/>
        <w:wordWrap/>
        <w:overflowPunct/>
        <w:topLinePunct w:val="0"/>
        <w:autoSpaceDE w:val="0"/>
        <w:autoSpaceDN/>
        <w:bidi w:val="0"/>
        <w:adjustRightInd/>
        <w:snapToGrid w:val="0"/>
        <w:spacing w:before="0" w:beforeAutospacing="0" w:after="0" w:afterAutospacing="0" w:line="576" w:lineRule="exact"/>
        <w:ind w:right="-94" w:rightChars="0" w:firstLine="640" w:firstLineChars="200"/>
        <w:jc w:val="left"/>
        <w:textAlignment w:val="auto"/>
      </w:pPr>
      <w:r>
        <w:rPr>
          <w:rFonts w:hint="default" w:ascii="仿宋_GB2312" w:eastAsia="仿宋_GB2312" w:cs="仿宋_GB2312" w:hAnsiTheme="minorHAnsi"/>
          <w:kern w:val="2"/>
          <w:sz w:val="32"/>
          <w:szCs w:val="32"/>
          <w:shd w:val="clear" w:fill="FFFFFF"/>
          <w:lang w:val="en-US" w:eastAsia="zh-CN" w:bidi="ar"/>
        </w:rPr>
        <w:t>为切实做好我局2021年“双随机、一公开”监管工作，推进市场监管部门“双随机、一公开”监管全覆盖制度化、常态化，进一步提升营商环境、减少行政执法检查频次，</w:t>
      </w:r>
      <w:r>
        <w:rPr>
          <w:rFonts w:hint="eastAsia" w:ascii="仿宋_GB2312" w:eastAsia="仿宋_GB2312" w:cs="仿宋_GB2312"/>
          <w:kern w:val="2"/>
          <w:sz w:val="32"/>
          <w:szCs w:val="32"/>
          <w:shd w:val="clear" w:fill="FFFFFF"/>
          <w:lang w:val="en-US" w:eastAsia="zh-CN" w:bidi="ar"/>
        </w:rPr>
        <w:t>特</w:t>
      </w:r>
      <w:r>
        <w:rPr>
          <w:rFonts w:hint="default" w:ascii="仿宋_GB2312" w:eastAsia="仿宋_GB2312" w:cs="仿宋_GB2312" w:hAnsiTheme="minorHAnsi"/>
          <w:kern w:val="2"/>
          <w:sz w:val="32"/>
          <w:szCs w:val="32"/>
          <w:shd w:val="clear" w:fill="FFFFFF"/>
          <w:lang w:val="en-US" w:eastAsia="zh-CN" w:bidi="ar"/>
        </w:rPr>
        <w:t>制定了《2021年度“双随机、一公开”监管工作计划》（以下简称年度监管计划）《2021年度“双随机、一公开”监管工作</w:t>
      </w:r>
      <w:r>
        <w:rPr>
          <w:rFonts w:hint="eastAsia" w:ascii="仿宋_GB2312" w:eastAsia="仿宋_GB2312" w:cs="仿宋_GB2312"/>
          <w:kern w:val="2"/>
          <w:sz w:val="32"/>
          <w:szCs w:val="32"/>
          <w:shd w:val="clear" w:fill="FFFFFF"/>
          <w:lang w:val="en-US" w:eastAsia="zh-CN" w:bidi="ar"/>
        </w:rPr>
        <w:t>细则</w:t>
      </w:r>
      <w:r>
        <w:rPr>
          <w:rFonts w:hint="default" w:ascii="仿宋_GB2312" w:eastAsia="仿宋_GB2312" w:cs="仿宋_GB2312" w:hAnsiTheme="minorHAnsi"/>
          <w:kern w:val="2"/>
          <w:sz w:val="32"/>
          <w:szCs w:val="32"/>
          <w:shd w:val="clear" w:fill="FFFFFF"/>
          <w:lang w:val="en-US" w:eastAsia="zh-CN" w:bidi="ar"/>
        </w:rPr>
        <w:t>》，现印发你们并提出以下工作要求。</w:t>
      </w:r>
    </w:p>
    <w:p>
      <w:pPr>
        <w:keepNext w:val="0"/>
        <w:keepLines w:val="0"/>
        <w:pageBreakBefore w:val="0"/>
        <w:widowControl w:val="0"/>
        <w:suppressLineNumbers w:val="0"/>
        <w:kinsoku/>
        <w:wordWrap/>
        <w:overflowPunct/>
        <w:topLinePunct w:val="0"/>
        <w:autoSpaceDE w:val="0"/>
        <w:autoSpaceDN/>
        <w:bidi w:val="0"/>
        <w:adjustRightInd/>
        <w:snapToGrid w:val="0"/>
        <w:spacing w:before="0" w:beforeAutospacing="0" w:after="0" w:afterAutospacing="0" w:line="576" w:lineRule="exact"/>
        <w:ind w:left="689" w:leftChars="304" w:right="-94" w:rightChars="0" w:hanging="51" w:hangingChars="16"/>
        <w:jc w:val="left"/>
        <w:textAlignment w:val="auto"/>
      </w:pPr>
      <w:r>
        <w:rPr>
          <w:rFonts w:ascii="黑体" w:hAnsi="宋体" w:eastAsia="黑体" w:cs="黑体"/>
          <w:kern w:val="2"/>
          <w:sz w:val="32"/>
          <w:szCs w:val="32"/>
          <w:shd w:val="clear" w:fill="FFFFFF"/>
          <w:lang w:val="en-US" w:eastAsia="zh-CN" w:bidi="ar"/>
        </w:rPr>
        <w:t>一、有机整合</w:t>
      </w:r>
      <w:r>
        <w:rPr>
          <w:rFonts w:hint="eastAsia" w:ascii="黑体" w:hAnsi="宋体" w:eastAsia="黑体" w:cs="黑体"/>
          <w:kern w:val="2"/>
          <w:sz w:val="32"/>
          <w:szCs w:val="32"/>
          <w:shd w:val="clear" w:fill="FFFFFF"/>
          <w:lang w:val="en-US" w:eastAsia="zh-CN" w:bidi="ar"/>
        </w:rPr>
        <w:t>“双随机”检查与各类专项检查</w:t>
      </w:r>
    </w:p>
    <w:p>
      <w:pPr>
        <w:keepNext w:val="0"/>
        <w:keepLines w:val="0"/>
        <w:pageBreakBefore w:val="0"/>
        <w:widowControl w:val="0"/>
        <w:suppressLineNumbers w:val="0"/>
        <w:kinsoku/>
        <w:wordWrap/>
        <w:overflowPunct/>
        <w:topLinePunct w:val="0"/>
        <w:autoSpaceDE w:val="0"/>
        <w:autoSpaceDN/>
        <w:bidi w:val="0"/>
        <w:adjustRightInd/>
        <w:snapToGrid w:val="0"/>
        <w:spacing w:before="0" w:beforeAutospacing="0" w:after="0" w:afterAutospacing="0" w:line="576" w:lineRule="exact"/>
        <w:ind w:right="-94" w:rightChars="0" w:firstLine="640" w:firstLineChars="200"/>
        <w:jc w:val="both"/>
        <w:textAlignment w:val="auto"/>
      </w:pPr>
      <w:r>
        <w:rPr>
          <w:rFonts w:hint="default" w:ascii="仿宋_GB2312" w:eastAsia="仿宋_GB2312" w:cs="仿宋_GB2312" w:hAnsiTheme="minorHAnsi"/>
          <w:kern w:val="2"/>
          <w:sz w:val="32"/>
          <w:szCs w:val="32"/>
          <w:shd w:val="clear" w:fill="FFFFFF"/>
          <w:lang w:val="en-US" w:eastAsia="zh-CN" w:bidi="ar"/>
        </w:rPr>
        <w:t>各业务</w:t>
      </w:r>
      <w:r>
        <w:rPr>
          <w:rFonts w:hint="eastAsia" w:ascii="仿宋_GB2312" w:eastAsia="仿宋_GB2312" w:cs="仿宋_GB2312"/>
          <w:kern w:val="2"/>
          <w:sz w:val="32"/>
          <w:szCs w:val="32"/>
          <w:shd w:val="clear" w:fill="FFFFFF"/>
          <w:lang w:val="en-US" w:eastAsia="zh-CN" w:bidi="ar"/>
        </w:rPr>
        <w:t>股</w:t>
      </w:r>
      <w:r>
        <w:rPr>
          <w:rFonts w:hint="default" w:ascii="仿宋_GB2312" w:eastAsia="仿宋_GB2312" w:cs="仿宋_GB2312" w:hAnsiTheme="minorHAnsi"/>
          <w:kern w:val="2"/>
          <w:sz w:val="32"/>
          <w:szCs w:val="32"/>
          <w:shd w:val="clear" w:fill="FFFFFF"/>
          <w:lang w:val="en-US" w:eastAsia="zh-CN" w:bidi="ar"/>
        </w:rPr>
        <w:t>室要严格按照监管计划开展行政检查，在元旦、春节、国庆、“两会”和中高考等重要时段要结合</w:t>
      </w:r>
      <w:r>
        <w:rPr>
          <w:rFonts w:hint="eastAsia" w:ascii="仿宋_GB2312" w:eastAsia="仿宋_GB2312" w:cs="仿宋_GB2312"/>
          <w:kern w:val="2"/>
          <w:sz w:val="32"/>
          <w:szCs w:val="32"/>
          <w:shd w:val="clear" w:fill="FFFFFF"/>
          <w:lang w:val="en-US" w:eastAsia="zh-CN" w:bidi="ar"/>
        </w:rPr>
        <w:t>省、市局的</w:t>
      </w:r>
      <w:r>
        <w:rPr>
          <w:rFonts w:hint="default" w:ascii="仿宋_GB2312" w:eastAsia="仿宋_GB2312" w:cs="仿宋_GB2312" w:hAnsiTheme="minorHAnsi"/>
          <w:kern w:val="2"/>
          <w:sz w:val="32"/>
          <w:szCs w:val="32"/>
          <w:shd w:val="clear" w:fill="FFFFFF"/>
          <w:lang w:val="en-US" w:eastAsia="zh-CN" w:bidi="ar"/>
        </w:rPr>
        <w:t>专项检查</w:t>
      </w:r>
      <w:r>
        <w:rPr>
          <w:rFonts w:hint="eastAsia" w:ascii="仿宋_GB2312" w:eastAsia="仿宋_GB2312" w:cs="仿宋_GB2312"/>
          <w:kern w:val="2"/>
          <w:sz w:val="32"/>
          <w:szCs w:val="32"/>
          <w:shd w:val="clear" w:fill="FFFFFF"/>
          <w:lang w:val="en-US" w:eastAsia="zh-CN" w:bidi="ar"/>
        </w:rPr>
        <w:t>以及市局的“双随机”抽查计划</w:t>
      </w:r>
      <w:r>
        <w:rPr>
          <w:rFonts w:hint="default" w:ascii="仿宋_GB2312" w:eastAsia="仿宋_GB2312" w:cs="仿宋_GB2312" w:hAnsiTheme="minorHAnsi"/>
          <w:kern w:val="2"/>
          <w:sz w:val="32"/>
          <w:szCs w:val="32"/>
          <w:shd w:val="clear" w:fill="FFFFFF"/>
          <w:lang w:val="en-US" w:eastAsia="zh-CN" w:bidi="ar"/>
        </w:rPr>
        <w:t>，可以合并整合的事项要一并进行。疫情期间要加强联合检查力度，承担疫情检查的部门要主动加强沟通协调，对能联合检查的事项要尽可能的开展联合检查，减少对企业检查频次，避免出现多头重复交叉检查的情况。</w:t>
      </w:r>
    </w:p>
    <w:p>
      <w:pPr>
        <w:keepNext w:val="0"/>
        <w:keepLines w:val="0"/>
        <w:pageBreakBefore w:val="0"/>
        <w:widowControl w:val="0"/>
        <w:suppressLineNumbers w:val="0"/>
        <w:kinsoku/>
        <w:wordWrap/>
        <w:overflowPunct/>
        <w:topLinePunct w:val="0"/>
        <w:autoSpaceDE w:val="0"/>
        <w:autoSpaceDN/>
        <w:bidi w:val="0"/>
        <w:adjustRightInd/>
        <w:snapToGrid w:val="0"/>
        <w:spacing w:before="0" w:beforeAutospacing="0" w:after="0" w:afterAutospacing="0" w:line="576" w:lineRule="exact"/>
        <w:ind w:right="-94" w:rightChars="0" w:firstLine="640" w:firstLineChars="200"/>
        <w:jc w:val="left"/>
        <w:textAlignment w:val="auto"/>
      </w:pPr>
      <w:r>
        <w:rPr>
          <w:rFonts w:hint="default" w:ascii="仿宋_GB2312" w:eastAsia="仿宋_GB2312" w:cs="仿宋_GB2312" w:hAnsiTheme="minorHAnsi"/>
          <w:kern w:val="2"/>
          <w:sz w:val="32"/>
          <w:szCs w:val="32"/>
          <w:shd w:val="clear" w:fill="FFFFFF"/>
          <w:lang w:val="en-US" w:eastAsia="zh-CN" w:bidi="ar"/>
        </w:rPr>
        <w:t>对无证无照经营行为的监督检查按原有方式开展。药品、医疗器械等未列入总局随机抽查事项清单的检查事项，按照上级要求和工作职责实施。</w:t>
      </w:r>
    </w:p>
    <w:p>
      <w:pPr>
        <w:keepNext w:val="0"/>
        <w:keepLines w:val="0"/>
        <w:pageBreakBefore w:val="0"/>
        <w:widowControl w:val="0"/>
        <w:suppressLineNumbers w:val="0"/>
        <w:kinsoku/>
        <w:wordWrap/>
        <w:overflowPunct/>
        <w:topLinePunct w:val="0"/>
        <w:autoSpaceDE w:val="0"/>
        <w:autoSpaceDN/>
        <w:bidi w:val="0"/>
        <w:adjustRightInd/>
        <w:snapToGrid w:val="0"/>
        <w:spacing w:before="0" w:beforeAutospacing="0" w:after="0" w:afterAutospacing="0" w:line="576" w:lineRule="exact"/>
        <w:ind w:left="689" w:leftChars="304" w:right="-94" w:rightChars="0" w:hanging="51" w:hangingChars="16"/>
        <w:jc w:val="left"/>
        <w:textAlignment w:val="auto"/>
      </w:pPr>
      <w:r>
        <w:rPr>
          <w:rFonts w:hint="eastAsia" w:ascii="黑体" w:hAnsi="宋体" w:eastAsia="黑体" w:cs="黑体"/>
          <w:kern w:val="2"/>
          <w:sz w:val="32"/>
          <w:szCs w:val="32"/>
          <w:shd w:val="clear" w:fill="FFFFFF"/>
          <w:lang w:val="en-US" w:eastAsia="zh-CN" w:bidi="ar"/>
        </w:rPr>
        <w:t>二、做好年度监管计划的组织实施</w:t>
      </w:r>
    </w:p>
    <w:p>
      <w:pPr>
        <w:keepNext w:val="0"/>
        <w:keepLines w:val="0"/>
        <w:pageBreakBefore w:val="0"/>
        <w:widowControl w:val="0"/>
        <w:suppressLineNumbers w:val="0"/>
        <w:kinsoku/>
        <w:wordWrap/>
        <w:overflowPunct/>
        <w:topLinePunct w:val="0"/>
        <w:autoSpaceDE w:val="0"/>
        <w:autoSpaceDN/>
        <w:bidi w:val="0"/>
        <w:adjustRightInd/>
        <w:snapToGrid w:val="0"/>
        <w:spacing w:before="0" w:beforeAutospacing="0" w:after="0" w:afterAutospacing="0" w:line="576" w:lineRule="exact"/>
        <w:ind w:left="689" w:leftChars="304" w:right="-94" w:rightChars="0" w:hanging="51" w:hangingChars="16"/>
        <w:jc w:val="left"/>
        <w:textAlignment w:val="auto"/>
      </w:pPr>
      <w:r>
        <w:rPr>
          <w:rFonts w:ascii="楷体_GB2312" w:eastAsia="楷体_GB2312" w:cs="楷体_GB2312" w:hAnsiTheme="minorHAnsi"/>
          <w:kern w:val="2"/>
          <w:sz w:val="32"/>
          <w:szCs w:val="32"/>
          <w:shd w:val="clear" w:fill="FFFFFF"/>
          <w:lang w:val="en-US" w:eastAsia="zh-CN" w:bidi="ar"/>
        </w:rPr>
        <w:t>（一）明确职能职责</w:t>
      </w:r>
    </w:p>
    <w:p>
      <w:pPr>
        <w:keepNext w:val="0"/>
        <w:keepLines w:val="0"/>
        <w:pageBreakBefore w:val="0"/>
        <w:widowControl w:val="0"/>
        <w:suppressLineNumbers w:val="0"/>
        <w:kinsoku/>
        <w:wordWrap/>
        <w:overflowPunct/>
        <w:topLinePunct w:val="0"/>
        <w:autoSpaceDE w:val="0"/>
        <w:autoSpaceDN/>
        <w:bidi w:val="0"/>
        <w:adjustRightInd/>
        <w:snapToGrid w:val="0"/>
        <w:spacing w:before="0" w:beforeAutospacing="0" w:after="0" w:afterAutospacing="0" w:line="576" w:lineRule="exact"/>
        <w:ind w:right="-94" w:rightChars="0" w:firstLine="640" w:firstLineChars="200"/>
        <w:jc w:val="left"/>
        <w:textAlignment w:val="auto"/>
      </w:pPr>
      <w:r>
        <w:rPr>
          <w:rFonts w:hint="default" w:ascii="仿宋_GB2312" w:eastAsia="仿宋_GB2312" w:cs="仿宋_GB2312" w:hAnsiTheme="minorHAnsi"/>
          <w:kern w:val="2"/>
          <w:sz w:val="32"/>
          <w:szCs w:val="32"/>
          <w:shd w:val="clear" w:fill="FFFFFF"/>
          <w:lang w:val="en-US" w:eastAsia="zh-CN" w:bidi="ar"/>
        </w:rPr>
        <w:t>1.</w:t>
      </w:r>
      <w:r>
        <w:rPr>
          <w:rFonts w:hint="eastAsia" w:ascii="仿宋_GB2312" w:eastAsia="仿宋_GB2312" w:cs="仿宋_GB2312"/>
          <w:kern w:val="2"/>
          <w:sz w:val="32"/>
          <w:szCs w:val="32"/>
          <w:shd w:val="clear" w:fill="FFFFFF"/>
          <w:lang w:val="en-US" w:eastAsia="zh-CN" w:bidi="ar"/>
        </w:rPr>
        <w:t>各股</w:t>
      </w:r>
      <w:r>
        <w:rPr>
          <w:rFonts w:hint="default" w:ascii="仿宋_GB2312" w:eastAsia="仿宋_GB2312" w:cs="仿宋_GB2312" w:hAnsiTheme="minorHAnsi"/>
          <w:kern w:val="2"/>
          <w:sz w:val="32"/>
          <w:szCs w:val="32"/>
          <w:shd w:val="clear" w:fill="FFFFFF"/>
          <w:lang w:val="en-US" w:eastAsia="zh-CN" w:bidi="ar"/>
        </w:rPr>
        <w:t>室</w:t>
      </w:r>
      <w:r>
        <w:rPr>
          <w:rFonts w:hint="eastAsia" w:ascii="仿宋_GB2312" w:eastAsia="仿宋_GB2312" w:cs="仿宋_GB2312"/>
          <w:kern w:val="2"/>
          <w:sz w:val="32"/>
          <w:szCs w:val="32"/>
          <w:shd w:val="clear" w:fill="FFFFFF"/>
          <w:lang w:val="en-US" w:eastAsia="zh-CN" w:bidi="ar"/>
        </w:rPr>
        <w:t>根据职能职责，负责</w:t>
      </w:r>
      <w:r>
        <w:rPr>
          <w:rFonts w:hint="default" w:ascii="仿宋_GB2312" w:eastAsia="仿宋_GB2312" w:cs="仿宋_GB2312" w:hAnsiTheme="minorHAnsi"/>
          <w:kern w:val="2"/>
          <w:sz w:val="32"/>
          <w:szCs w:val="32"/>
          <w:shd w:val="clear" w:fill="FFFFFF"/>
          <w:lang w:val="en-US" w:eastAsia="zh-CN" w:bidi="ar"/>
        </w:rPr>
        <w:t>年度监管计划的组织实施，科学制订抽查检查方案，建立</w:t>
      </w:r>
      <w:r>
        <w:rPr>
          <w:rFonts w:hint="eastAsia" w:ascii="仿宋_GB2312" w:eastAsia="仿宋_GB2312" w:cs="仿宋_GB2312"/>
          <w:kern w:val="2"/>
          <w:sz w:val="32"/>
          <w:szCs w:val="32"/>
          <w:shd w:val="clear" w:fill="FFFFFF"/>
          <w:lang w:val="en-US" w:eastAsia="zh-CN" w:bidi="ar"/>
        </w:rPr>
        <w:t>相应的</w:t>
      </w:r>
      <w:r>
        <w:rPr>
          <w:rFonts w:hint="default" w:ascii="仿宋_GB2312" w:eastAsia="仿宋_GB2312" w:cs="仿宋_GB2312" w:hAnsiTheme="minorHAnsi"/>
          <w:kern w:val="2"/>
          <w:sz w:val="32"/>
          <w:szCs w:val="32"/>
          <w:shd w:val="clear" w:fill="FFFFFF"/>
          <w:lang w:val="en-US" w:eastAsia="zh-CN" w:bidi="ar"/>
        </w:rPr>
        <w:t>执法人员库和抽查对象库，方案内容应包括计划所列的检查事项，检查结果录入公示必须在2021年11月1</w:t>
      </w:r>
      <w:r>
        <w:rPr>
          <w:rFonts w:hint="eastAsia" w:ascii="仿宋_GB2312" w:eastAsia="仿宋_GB2312" w:cs="仿宋_GB2312"/>
          <w:kern w:val="2"/>
          <w:sz w:val="32"/>
          <w:szCs w:val="32"/>
          <w:shd w:val="clear" w:fill="FFFFFF"/>
          <w:lang w:val="en-US" w:eastAsia="zh-CN" w:bidi="ar"/>
        </w:rPr>
        <w:t>0</w:t>
      </w:r>
      <w:r>
        <w:rPr>
          <w:rFonts w:hint="default" w:ascii="仿宋_GB2312" w:eastAsia="仿宋_GB2312" w:cs="仿宋_GB2312" w:hAnsiTheme="minorHAnsi"/>
          <w:kern w:val="2"/>
          <w:sz w:val="32"/>
          <w:szCs w:val="32"/>
          <w:shd w:val="clear" w:fill="FFFFFF"/>
          <w:lang w:val="en-US" w:eastAsia="zh-CN" w:bidi="ar"/>
        </w:rPr>
        <w:t>日前完成。方案经领导审批发文后报送</w:t>
      </w:r>
      <w:r>
        <w:rPr>
          <w:rFonts w:hint="eastAsia" w:ascii="仿宋_GB2312" w:eastAsia="仿宋_GB2312" w:cs="仿宋_GB2312"/>
          <w:kern w:val="2"/>
          <w:sz w:val="32"/>
          <w:szCs w:val="32"/>
          <w:shd w:val="clear" w:fill="FFFFFF"/>
          <w:lang w:val="en-US" w:eastAsia="zh-CN" w:bidi="ar"/>
        </w:rPr>
        <w:t>区局办公室</w:t>
      </w:r>
      <w:r>
        <w:rPr>
          <w:rFonts w:hint="default" w:ascii="仿宋_GB2312" w:eastAsia="仿宋_GB2312" w:cs="仿宋_GB2312" w:hAnsiTheme="minorHAnsi"/>
          <w:kern w:val="2"/>
          <w:sz w:val="32"/>
          <w:szCs w:val="32"/>
          <w:shd w:val="clear" w:fill="FFFFFF"/>
          <w:lang w:val="en-US" w:eastAsia="zh-CN" w:bidi="ar"/>
        </w:rPr>
        <w:t>统一</w:t>
      </w:r>
      <w:r>
        <w:rPr>
          <w:rFonts w:hint="eastAsia" w:ascii="仿宋_GB2312" w:eastAsia="仿宋_GB2312" w:cs="仿宋_GB2312"/>
          <w:kern w:val="2"/>
          <w:sz w:val="32"/>
          <w:szCs w:val="32"/>
          <w:shd w:val="clear" w:fill="FFFFFF"/>
          <w:lang w:val="en-US" w:eastAsia="zh-CN" w:bidi="ar"/>
        </w:rPr>
        <w:t>在区政府门户网站</w:t>
      </w:r>
      <w:r>
        <w:rPr>
          <w:rFonts w:hint="default" w:ascii="仿宋_GB2312" w:eastAsia="仿宋_GB2312" w:cs="仿宋_GB2312" w:hAnsiTheme="minorHAnsi"/>
          <w:kern w:val="2"/>
          <w:sz w:val="32"/>
          <w:szCs w:val="32"/>
          <w:shd w:val="clear" w:fill="FFFFFF"/>
          <w:lang w:val="en-US" w:eastAsia="zh-CN" w:bidi="ar"/>
        </w:rPr>
        <w:t>公示。</w:t>
      </w:r>
    </w:p>
    <w:p>
      <w:pPr>
        <w:keepNext w:val="0"/>
        <w:keepLines w:val="0"/>
        <w:pageBreakBefore w:val="0"/>
        <w:widowControl w:val="0"/>
        <w:suppressLineNumbers w:val="0"/>
        <w:kinsoku/>
        <w:wordWrap/>
        <w:overflowPunct/>
        <w:topLinePunct w:val="0"/>
        <w:autoSpaceDE w:val="0"/>
        <w:autoSpaceDN/>
        <w:bidi w:val="0"/>
        <w:adjustRightInd/>
        <w:snapToGrid w:val="0"/>
        <w:spacing w:before="0" w:beforeAutospacing="0" w:after="0" w:afterAutospacing="0" w:line="576" w:lineRule="exact"/>
        <w:ind w:right="-94" w:rightChars="0" w:firstLine="640" w:firstLineChars="200"/>
        <w:jc w:val="left"/>
        <w:textAlignment w:val="auto"/>
      </w:pPr>
      <w:r>
        <w:rPr>
          <w:rFonts w:hint="eastAsia" w:ascii="仿宋_GB2312" w:eastAsia="仿宋_GB2312" w:cs="仿宋_GB2312"/>
          <w:kern w:val="2"/>
          <w:sz w:val="32"/>
          <w:szCs w:val="32"/>
          <w:shd w:val="clear" w:fill="FFFFFF"/>
          <w:lang w:val="en-US" w:eastAsia="zh-CN" w:bidi="ar"/>
        </w:rPr>
        <w:t>2</w:t>
      </w:r>
      <w:r>
        <w:rPr>
          <w:rFonts w:hint="default" w:ascii="仿宋_GB2312" w:eastAsia="仿宋_GB2312" w:cs="仿宋_GB2312" w:hAnsiTheme="minorHAnsi"/>
          <w:kern w:val="2"/>
          <w:sz w:val="32"/>
          <w:szCs w:val="32"/>
          <w:shd w:val="clear" w:fill="FFFFFF"/>
          <w:lang w:val="en-US" w:eastAsia="zh-CN" w:bidi="ar"/>
        </w:rPr>
        <w:t>.涉及</w:t>
      </w:r>
      <w:r>
        <w:rPr>
          <w:rFonts w:hint="eastAsia" w:ascii="仿宋_GB2312" w:eastAsia="仿宋_GB2312" w:cs="仿宋_GB2312"/>
          <w:kern w:val="2"/>
          <w:sz w:val="32"/>
          <w:szCs w:val="32"/>
          <w:shd w:val="clear" w:fill="FFFFFF"/>
          <w:lang w:val="en-US" w:eastAsia="zh-CN" w:bidi="ar"/>
        </w:rPr>
        <w:t>区</w:t>
      </w:r>
      <w:r>
        <w:rPr>
          <w:rFonts w:hint="default" w:ascii="仿宋_GB2312" w:eastAsia="仿宋_GB2312" w:cs="仿宋_GB2312" w:hAnsiTheme="minorHAnsi"/>
          <w:kern w:val="2"/>
          <w:sz w:val="32"/>
          <w:szCs w:val="32"/>
          <w:shd w:val="clear" w:fill="FFFFFF"/>
          <w:lang w:val="en-US" w:eastAsia="zh-CN" w:bidi="ar"/>
        </w:rPr>
        <w:t>政府《广元市</w:t>
      </w:r>
      <w:r>
        <w:rPr>
          <w:rFonts w:hint="eastAsia" w:ascii="仿宋_GB2312" w:eastAsia="仿宋_GB2312" w:cs="仿宋_GB2312"/>
          <w:kern w:val="2"/>
          <w:sz w:val="32"/>
          <w:szCs w:val="32"/>
          <w:shd w:val="clear" w:fill="FFFFFF"/>
          <w:lang w:val="en-US" w:eastAsia="zh-CN" w:bidi="ar"/>
        </w:rPr>
        <w:t>昭化区</w:t>
      </w:r>
      <w:r>
        <w:rPr>
          <w:rFonts w:hint="default" w:ascii="仿宋_GB2312" w:eastAsia="仿宋_GB2312" w:cs="仿宋_GB2312" w:hAnsiTheme="minorHAnsi"/>
          <w:kern w:val="2"/>
          <w:sz w:val="32"/>
          <w:szCs w:val="32"/>
          <w:shd w:val="clear" w:fill="FFFFFF"/>
          <w:lang w:val="en-US" w:eastAsia="zh-CN" w:bidi="ar"/>
        </w:rPr>
        <w:t>2021年市场监管领域部门联合“双随机、一公开”监管计划》的</w:t>
      </w:r>
      <w:r>
        <w:rPr>
          <w:rFonts w:hint="eastAsia" w:ascii="仿宋_GB2312" w:eastAsia="仿宋_GB2312" w:cs="仿宋_GB2312"/>
          <w:kern w:val="2"/>
          <w:sz w:val="32"/>
          <w:szCs w:val="32"/>
          <w:shd w:val="clear" w:fill="FFFFFF"/>
          <w:lang w:val="en-US" w:eastAsia="zh-CN" w:bidi="ar"/>
        </w:rPr>
        <w:t>股室</w:t>
      </w:r>
      <w:r>
        <w:rPr>
          <w:rFonts w:hint="default" w:ascii="仿宋_GB2312" w:eastAsia="仿宋_GB2312" w:cs="仿宋_GB2312" w:hAnsiTheme="minorHAnsi"/>
          <w:kern w:val="2"/>
          <w:sz w:val="32"/>
          <w:szCs w:val="32"/>
          <w:shd w:val="clear" w:fill="FFFFFF"/>
          <w:lang w:val="en-US" w:eastAsia="zh-CN" w:bidi="ar"/>
        </w:rPr>
        <w:t>，按照</w:t>
      </w:r>
      <w:r>
        <w:rPr>
          <w:rFonts w:hint="eastAsia" w:ascii="仿宋_GB2312" w:eastAsia="仿宋_GB2312" w:cs="仿宋_GB2312"/>
          <w:kern w:val="2"/>
          <w:sz w:val="32"/>
          <w:szCs w:val="32"/>
          <w:shd w:val="clear" w:fill="FFFFFF"/>
          <w:lang w:val="en-US" w:eastAsia="zh-CN" w:bidi="ar"/>
        </w:rPr>
        <w:t>区</w:t>
      </w:r>
      <w:r>
        <w:rPr>
          <w:rFonts w:hint="default" w:ascii="仿宋_GB2312" w:eastAsia="仿宋_GB2312" w:cs="仿宋_GB2312" w:hAnsiTheme="minorHAnsi"/>
          <w:kern w:val="2"/>
          <w:sz w:val="32"/>
          <w:szCs w:val="32"/>
          <w:shd w:val="clear" w:fill="FFFFFF"/>
          <w:lang w:val="en-US" w:eastAsia="zh-CN" w:bidi="ar"/>
        </w:rPr>
        <w:t>政府办通知要求，做好牵头和参与检查工作。</w:t>
      </w:r>
    </w:p>
    <w:p>
      <w:pPr>
        <w:keepNext w:val="0"/>
        <w:keepLines w:val="0"/>
        <w:pageBreakBefore w:val="0"/>
        <w:widowControl w:val="0"/>
        <w:suppressLineNumbers w:val="0"/>
        <w:kinsoku/>
        <w:wordWrap/>
        <w:overflowPunct/>
        <w:topLinePunct w:val="0"/>
        <w:autoSpaceDE w:val="0"/>
        <w:autoSpaceDN/>
        <w:bidi w:val="0"/>
        <w:adjustRightInd/>
        <w:snapToGrid w:val="0"/>
        <w:spacing w:before="0" w:beforeAutospacing="0" w:after="0" w:afterAutospacing="0" w:line="576" w:lineRule="exact"/>
        <w:ind w:left="689" w:leftChars="304" w:right="-94" w:rightChars="0" w:hanging="51" w:hangingChars="16"/>
        <w:jc w:val="left"/>
        <w:textAlignment w:val="auto"/>
      </w:pPr>
      <w:r>
        <w:rPr>
          <w:rFonts w:hint="default" w:ascii="楷体_GB2312" w:eastAsia="楷体_GB2312" w:cs="楷体_GB2312" w:hAnsiTheme="minorHAnsi"/>
          <w:kern w:val="2"/>
          <w:sz w:val="32"/>
          <w:szCs w:val="32"/>
          <w:shd w:val="clear" w:fill="FFFFFF"/>
          <w:lang w:val="en-US" w:eastAsia="zh-CN" w:bidi="ar"/>
        </w:rPr>
        <w:t>（二）做好年度监管计划数据平台应用工作</w:t>
      </w:r>
    </w:p>
    <w:p>
      <w:pPr>
        <w:keepNext w:val="0"/>
        <w:keepLines w:val="0"/>
        <w:pageBreakBefore w:val="0"/>
        <w:widowControl w:val="0"/>
        <w:suppressLineNumbers w:val="0"/>
        <w:kinsoku/>
        <w:wordWrap/>
        <w:overflowPunct/>
        <w:topLinePunct w:val="0"/>
        <w:autoSpaceDE w:val="0"/>
        <w:autoSpaceDN/>
        <w:bidi w:val="0"/>
        <w:adjustRightInd/>
        <w:snapToGrid w:val="0"/>
        <w:spacing w:before="0" w:beforeAutospacing="0" w:after="0" w:afterAutospacing="0" w:line="576" w:lineRule="exact"/>
        <w:ind w:right="-94" w:rightChars="0" w:firstLine="640" w:firstLineChars="200"/>
        <w:jc w:val="left"/>
        <w:textAlignment w:val="auto"/>
      </w:pPr>
      <w:r>
        <w:rPr>
          <w:rFonts w:hint="default" w:ascii="仿宋_GB2312" w:eastAsia="仿宋_GB2312" w:cs="仿宋_GB2312" w:hAnsiTheme="minorHAnsi"/>
          <w:kern w:val="2"/>
          <w:sz w:val="32"/>
          <w:szCs w:val="32"/>
          <w:shd w:val="clear" w:fill="FFFFFF"/>
          <w:lang w:val="en-US" w:eastAsia="zh-CN" w:bidi="ar"/>
        </w:rPr>
        <w:t>数据平台的应用是“双随机、一公开”监管工作的基础，也是工作考核的重要途径，各</w:t>
      </w:r>
      <w:r>
        <w:rPr>
          <w:rFonts w:hint="eastAsia" w:ascii="仿宋_GB2312" w:eastAsia="仿宋_GB2312" w:cs="仿宋_GB2312"/>
          <w:kern w:val="2"/>
          <w:sz w:val="32"/>
          <w:szCs w:val="32"/>
          <w:shd w:val="clear" w:fill="FFFFFF"/>
          <w:lang w:val="en-US" w:eastAsia="zh-CN" w:bidi="ar"/>
        </w:rPr>
        <w:t>股室</w:t>
      </w:r>
      <w:r>
        <w:rPr>
          <w:rFonts w:hint="default" w:ascii="仿宋_GB2312" w:eastAsia="仿宋_GB2312" w:cs="仿宋_GB2312" w:hAnsiTheme="minorHAnsi"/>
          <w:kern w:val="2"/>
          <w:sz w:val="32"/>
          <w:szCs w:val="32"/>
          <w:shd w:val="clear" w:fill="FFFFFF"/>
          <w:lang w:val="en-US" w:eastAsia="zh-CN" w:bidi="ar"/>
        </w:rPr>
        <w:t>要高度重视平台的学习应用。</w:t>
      </w:r>
    </w:p>
    <w:p>
      <w:pPr>
        <w:keepNext w:val="0"/>
        <w:keepLines w:val="0"/>
        <w:pageBreakBefore w:val="0"/>
        <w:widowControl w:val="0"/>
        <w:suppressLineNumbers w:val="0"/>
        <w:kinsoku/>
        <w:wordWrap/>
        <w:overflowPunct/>
        <w:topLinePunct w:val="0"/>
        <w:autoSpaceDE w:val="0"/>
        <w:autoSpaceDN/>
        <w:bidi w:val="0"/>
        <w:adjustRightInd/>
        <w:snapToGrid w:val="0"/>
        <w:spacing w:before="0" w:beforeAutospacing="0" w:after="0" w:afterAutospacing="0" w:line="576" w:lineRule="exact"/>
        <w:ind w:right="-94" w:rightChars="0" w:firstLine="640" w:firstLineChars="200"/>
        <w:jc w:val="both"/>
        <w:textAlignment w:val="auto"/>
      </w:pPr>
      <w:r>
        <w:rPr>
          <w:rFonts w:hint="default" w:ascii="仿宋_GB2312" w:eastAsia="仿宋_GB2312" w:cs="仿宋_GB2312" w:hAnsiTheme="minorHAnsi"/>
          <w:kern w:val="2"/>
          <w:sz w:val="32"/>
          <w:szCs w:val="32"/>
          <w:shd w:val="clear" w:fill="FFFFFF"/>
          <w:lang w:val="en-US" w:eastAsia="zh-CN" w:bidi="ar"/>
        </w:rPr>
        <w:t>1.实现全流程数据录入。各项年度监管计划要将抽查事项清单、监管计划制订（下发、领取）、检查方案、“两库”建立、随机抽取、检查结果录入和公示等所有数据按照要求录入数据平台。同时按照行政执法规定，做好相关书面检查记录。</w:t>
      </w:r>
    </w:p>
    <w:p>
      <w:pPr>
        <w:keepNext w:val="0"/>
        <w:keepLines w:val="0"/>
        <w:pageBreakBefore w:val="0"/>
        <w:widowControl w:val="0"/>
        <w:suppressLineNumbers w:val="0"/>
        <w:kinsoku/>
        <w:wordWrap/>
        <w:overflowPunct/>
        <w:topLinePunct w:val="0"/>
        <w:autoSpaceDE w:val="0"/>
        <w:autoSpaceDN/>
        <w:bidi w:val="0"/>
        <w:adjustRightInd/>
        <w:snapToGrid w:val="0"/>
        <w:spacing w:before="0" w:beforeAutospacing="0" w:after="0" w:afterAutospacing="0" w:line="576" w:lineRule="exact"/>
        <w:ind w:right="-94" w:rightChars="0" w:firstLine="640" w:firstLineChars="200"/>
        <w:jc w:val="left"/>
        <w:textAlignment w:val="auto"/>
      </w:pPr>
      <w:r>
        <w:rPr>
          <w:rFonts w:hint="default" w:ascii="仿宋_GB2312" w:eastAsia="仿宋_GB2312" w:cs="仿宋_GB2312" w:hAnsiTheme="minorHAnsi"/>
          <w:kern w:val="2"/>
          <w:sz w:val="32"/>
          <w:szCs w:val="32"/>
          <w:shd w:val="clear" w:fill="FFFFFF"/>
          <w:lang w:val="en-US" w:eastAsia="zh-CN" w:bidi="ar"/>
        </w:rPr>
        <w:t>2.按照时限要求实施数据录入。各项录入数据要依照工作流程要求逐步按时录入，在制订检查方案时合理安排各个流程时限，避免逾期或超期。</w:t>
      </w:r>
    </w:p>
    <w:p>
      <w:pPr>
        <w:keepNext w:val="0"/>
        <w:keepLines w:val="0"/>
        <w:pageBreakBefore w:val="0"/>
        <w:widowControl w:val="0"/>
        <w:suppressLineNumbers w:val="0"/>
        <w:kinsoku/>
        <w:wordWrap/>
        <w:overflowPunct/>
        <w:topLinePunct w:val="0"/>
        <w:autoSpaceDE w:val="0"/>
        <w:autoSpaceDN/>
        <w:bidi w:val="0"/>
        <w:adjustRightInd/>
        <w:snapToGrid w:val="0"/>
        <w:spacing w:before="0" w:beforeAutospacing="0" w:after="0" w:afterAutospacing="0" w:line="576" w:lineRule="exact"/>
        <w:ind w:left="689" w:leftChars="304" w:right="-94" w:rightChars="0" w:hanging="51" w:hangingChars="16"/>
        <w:jc w:val="left"/>
        <w:textAlignment w:val="auto"/>
      </w:pPr>
      <w:r>
        <w:rPr>
          <w:rFonts w:hint="default" w:ascii="仿宋_GB2312" w:eastAsia="仿宋_GB2312" w:cs="仿宋_GB2312" w:hAnsiTheme="minorHAnsi"/>
          <w:kern w:val="2"/>
          <w:sz w:val="32"/>
          <w:szCs w:val="32"/>
          <w:shd w:val="clear" w:fill="FFFFFF"/>
          <w:lang w:val="en-US" w:eastAsia="zh-CN" w:bidi="ar"/>
        </w:rPr>
        <w:t>3.明确两个数据平台应用范围：</w:t>
      </w:r>
    </w:p>
    <w:p>
      <w:pPr>
        <w:keepNext w:val="0"/>
        <w:keepLines w:val="0"/>
        <w:pageBreakBefore w:val="0"/>
        <w:widowControl w:val="0"/>
        <w:suppressLineNumbers w:val="0"/>
        <w:kinsoku/>
        <w:wordWrap/>
        <w:overflowPunct/>
        <w:topLinePunct w:val="0"/>
        <w:autoSpaceDE w:val="0"/>
        <w:autoSpaceDN/>
        <w:bidi w:val="0"/>
        <w:adjustRightInd/>
        <w:snapToGrid w:val="0"/>
        <w:spacing w:before="0" w:beforeAutospacing="0" w:after="0" w:afterAutospacing="0" w:line="576" w:lineRule="exact"/>
        <w:ind w:right="-94" w:rightChars="0" w:firstLine="640" w:firstLineChars="200"/>
        <w:jc w:val="both"/>
        <w:textAlignment w:val="auto"/>
      </w:pPr>
      <w:r>
        <w:rPr>
          <w:rFonts w:hint="default" w:ascii="仿宋_GB2312" w:eastAsia="仿宋_GB2312" w:cs="仿宋_GB2312" w:hAnsiTheme="minorHAnsi"/>
          <w:kern w:val="2"/>
          <w:sz w:val="32"/>
          <w:szCs w:val="32"/>
          <w:shd w:val="clear" w:fill="FFFFFF"/>
          <w:lang w:val="en-US" w:eastAsia="zh-CN" w:bidi="ar"/>
        </w:rPr>
        <w:t>四川省市场监管领域部门联合‘双随机、一公开’监管平台：用于政府部门联合“双随机、一公开”监管数据应用，</w:t>
      </w:r>
      <w:r>
        <w:rPr>
          <w:rFonts w:hint="eastAsia" w:ascii="仿宋_GB2312" w:eastAsia="仿宋_GB2312" w:cs="仿宋_GB2312"/>
          <w:kern w:val="2"/>
          <w:sz w:val="32"/>
          <w:szCs w:val="32"/>
          <w:shd w:val="clear" w:fill="FFFFFF"/>
          <w:lang w:val="en-US" w:eastAsia="zh-CN" w:bidi="ar"/>
        </w:rPr>
        <w:t>区</w:t>
      </w:r>
      <w:r>
        <w:rPr>
          <w:rFonts w:hint="default" w:ascii="仿宋_GB2312" w:eastAsia="仿宋_GB2312" w:cs="仿宋_GB2312" w:hAnsiTheme="minorHAnsi"/>
          <w:kern w:val="2"/>
          <w:sz w:val="32"/>
          <w:szCs w:val="32"/>
          <w:shd w:val="clear" w:fill="FFFFFF"/>
          <w:lang w:val="en-US" w:eastAsia="zh-CN" w:bidi="ar"/>
        </w:rPr>
        <w:t>局和</w:t>
      </w:r>
      <w:r>
        <w:rPr>
          <w:rFonts w:hint="eastAsia" w:ascii="仿宋_GB2312" w:eastAsia="仿宋_GB2312" w:cs="仿宋_GB2312"/>
          <w:kern w:val="2"/>
          <w:sz w:val="32"/>
          <w:szCs w:val="32"/>
          <w:shd w:val="clear" w:fill="FFFFFF"/>
          <w:lang w:val="en-US" w:eastAsia="zh-CN" w:bidi="ar"/>
        </w:rPr>
        <w:t>区级相关部门</w:t>
      </w:r>
      <w:r>
        <w:rPr>
          <w:rFonts w:hint="default" w:ascii="仿宋_GB2312" w:eastAsia="仿宋_GB2312" w:cs="仿宋_GB2312" w:hAnsiTheme="minorHAnsi"/>
          <w:kern w:val="2"/>
          <w:sz w:val="32"/>
          <w:szCs w:val="32"/>
          <w:shd w:val="clear" w:fill="FFFFFF"/>
          <w:lang w:val="en-US" w:eastAsia="zh-CN" w:bidi="ar"/>
        </w:rPr>
        <w:t>参与当地政府部门联合监管时使用此平台。</w:t>
      </w:r>
    </w:p>
    <w:p>
      <w:pPr>
        <w:keepNext w:val="0"/>
        <w:keepLines w:val="0"/>
        <w:pageBreakBefore w:val="0"/>
        <w:widowControl w:val="0"/>
        <w:suppressLineNumbers w:val="0"/>
        <w:kinsoku/>
        <w:wordWrap/>
        <w:overflowPunct/>
        <w:topLinePunct w:val="0"/>
        <w:autoSpaceDE w:val="0"/>
        <w:autoSpaceDN/>
        <w:bidi w:val="0"/>
        <w:adjustRightInd/>
        <w:snapToGrid w:val="0"/>
        <w:spacing w:before="0" w:beforeAutospacing="0" w:after="0" w:afterAutospacing="0" w:line="576" w:lineRule="exact"/>
        <w:ind w:right="-94" w:rightChars="0" w:firstLine="640" w:firstLineChars="200"/>
        <w:jc w:val="left"/>
        <w:textAlignment w:val="auto"/>
      </w:pPr>
      <w:r>
        <w:rPr>
          <w:rFonts w:hint="default" w:ascii="仿宋_GB2312" w:eastAsia="仿宋_GB2312" w:cs="仿宋_GB2312" w:hAnsiTheme="minorHAnsi"/>
          <w:kern w:val="2"/>
          <w:sz w:val="32"/>
          <w:szCs w:val="32"/>
          <w:shd w:val="clear" w:fill="FFFFFF"/>
          <w:lang w:val="en-US" w:eastAsia="zh-CN" w:bidi="ar"/>
        </w:rPr>
        <w:t>四川省市场监管一体化平台：用于市场监管部门“双随机、一公开”监管数据应用。</w:t>
      </w:r>
    </w:p>
    <w:p>
      <w:pPr>
        <w:keepNext w:val="0"/>
        <w:keepLines w:val="0"/>
        <w:pageBreakBefore w:val="0"/>
        <w:widowControl w:val="0"/>
        <w:suppressLineNumbers w:val="0"/>
        <w:kinsoku/>
        <w:wordWrap/>
        <w:overflowPunct/>
        <w:topLinePunct w:val="0"/>
        <w:autoSpaceDE w:val="0"/>
        <w:autoSpaceDN/>
        <w:bidi w:val="0"/>
        <w:adjustRightInd/>
        <w:snapToGrid w:val="0"/>
        <w:spacing w:before="0" w:beforeAutospacing="0" w:after="0" w:afterAutospacing="0" w:line="576" w:lineRule="exact"/>
        <w:ind w:left="689" w:leftChars="304" w:right="-94" w:rightChars="0" w:hanging="51" w:hangingChars="16"/>
        <w:jc w:val="left"/>
        <w:textAlignment w:val="auto"/>
      </w:pPr>
      <w:r>
        <w:rPr>
          <w:rFonts w:hint="default" w:ascii="楷体_GB2312" w:eastAsia="楷体_GB2312" w:cs="楷体_GB2312" w:hAnsiTheme="minorHAnsi"/>
          <w:kern w:val="2"/>
          <w:sz w:val="32"/>
          <w:szCs w:val="32"/>
          <w:shd w:val="clear" w:fill="FFFFFF"/>
          <w:lang w:val="en-US" w:eastAsia="zh-CN" w:bidi="ar"/>
        </w:rPr>
        <w:t>（三）执法人员和检查对象库的建立</w:t>
      </w:r>
    </w:p>
    <w:p>
      <w:pPr>
        <w:keepNext w:val="0"/>
        <w:keepLines w:val="0"/>
        <w:pageBreakBefore w:val="0"/>
        <w:widowControl w:val="0"/>
        <w:suppressLineNumbers w:val="0"/>
        <w:kinsoku/>
        <w:wordWrap/>
        <w:overflowPunct/>
        <w:topLinePunct w:val="0"/>
        <w:autoSpaceDE w:val="0"/>
        <w:autoSpaceDN/>
        <w:bidi w:val="0"/>
        <w:adjustRightInd/>
        <w:snapToGrid w:val="0"/>
        <w:spacing w:before="0" w:beforeAutospacing="0" w:after="0" w:afterAutospacing="0" w:line="576" w:lineRule="exact"/>
        <w:ind w:right="-94" w:rightChars="0" w:firstLine="640" w:firstLineChars="200"/>
        <w:jc w:val="left"/>
        <w:textAlignment w:val="auto"/>
      </w:pPr>
      <w:r>
        <w:rPr>
          <w:rFonts w:hint="default" w:ascii="仿宋_GB2312" w:eastAsia="仿宋_GB2312" w:cs="仿宋_GB2312" w:hAnsiTheme="minorHAnsi"/>
          <w:kern w:val="2"/>
          <w:sz w:val="32"/>
          <w:szCs w:val="32"/>
          <w:shd w:val="clear" w:fill="FFFFFF"/>
          <w:lang w:val="en-US" w:eastAsia="zh-CN" w:bidi="ar"/>
        </w:rPr>
        <w:t>检查对象名录库既可以包括企业、个体工商户等市场主体，也可以包括产品、项目、行为等。对检查对象，根据日常监管情况探索建立信用分级分类监管，提高对违法失信检查对象的抽查比例，相应降低守法守信检查对象抽查比例。</w:t>
      </w:r>
    </w:p>
    <w:p>
      <w:pPr>
        <w:keepNext w:val="0"/>
        <w:keepLines w:val="0"/>
        <w:pageBreakBefore w:val="0"/>
        <w:widowControl w:val="0"/>
        <w:suppressLineNumbers w:val="0"/>
        <w:kinsoku/>
        <w:wordWrap/>
        <w:overflowPunct/>
        <w:topLinePunct w:val="0"/>
        <w:autoSpaceDE w:val="0"/>
        <w:autoSpaceDN/>
        <w:bidi w:val="0"/>
        <w:adjustRightInd/>
        <w:snapToGrid w:val="0"/>
        <w:spacing w:before="0" w:beforeAutospacing="0" w:after="0" w:afterAutospacing="0" w:line="576" w:lineRule="exact"/>
        <w:ind w:right="-94" w:rightChars="0" w:firstLine="640" w:firstLineChars="200"/>
        <w:jc w:val="left"/>
        <w:textAlignment w:val="auto"/>
      </w:pPr>
      <w:r>
        <w:rPr>
          <w:rFonts w:hint="default" w:ascii="仿宋_GB2312" w:eastAsia="仿宋_GB2312" w:cs="仿宋_GB2312" w:hAnsiTheme="minorHAnsi"/>
          <w:kern w:val="2"/>
          <w:sz w:val="32"/>
          <w:szCs w:val="32"/>
          <w:shd w:val="clear" w:fill="FFFFFF"/>
          <w:lang w:val="en-US" w:eastAsia="zh-CN" w:bidi="ar"/>
        </w:rPr>
        <w:t>执法检查人员名录库应包括所有相关的行政执法类公务员、具有行政执法资格的工作人员和从事日常监管工作的人员，并按照执法资质、业务专长进行分类标注。对吸收检测机构、科研院所和专家学者等第三方参与的检查，应建立第三方人员库，但实施检查时不能取代执法检查人员。要根据检查对象和执法检查人员变动情况，对“两库”进行动态管理。</w:t>
      </w:r>
    </w:p>
    <w:p>
      <w:pPr>
        <w:keepNext w:val="0"/>
        <w:keepLines w:val="0"/>
        <w:pageBreakBefore w:val="0"/>
        <w:widowControl w:val="0"/>
        <w:suppressLineNumbers w:val="0"/>
        <w:kinsoku/>
        <w:wordWrap/>
        <w:overflowPunct/>
        <w:topLinePunct w:val="0"/>
        <w:autoSpaceDE w:val="0"/>
        <w:autoSpaceDN/>
        <w:bidi w:val="0"/>
        <w:adjustRightInd/>
        <w:snapToGrid w:val="0"/>
        <w:spacing w:before="0" w:beforeAutospacing="0" w:after="0" w:afterAutospacing="0" w:line="576" w:lineRule="exact"/>
        <w:ind w:left="689" w:leftChars="304" w:right="-94" w:rightChars="0" w:hanging="51" w:hangingChars="16"/>
        <w:jc w:val="left"/>
        <w:textAlignment w:val="auto"/>
      </w:pPr>
      <w:r>
        <w:rPr>
          <w:rFonts w:hint="default" w:ascii="楷体_GB2312" w:eastAsia="楷体_GB2312" w:cs="楷体_GB2312" w:hAnsiTheme="minorHAnsi"/>
          <w:kern w:val="2"/>
          <w:sz w:val="32"/>
          <w:szCs w:val="32"/>
          <w:shd w:val="clear" w:fill="FFFFFF"/>
          <w:lang w:val="en-US" w:eastAsia="zh-CN" w:bidi="ar"/>
        </w:rPr>
        <w:t>（四）检查结果的公示和运用</w:t>
      </w:r>
    </w:p>
    <w:p>
      <w:pPr>
        <w:keepNext w:val="0"/>
        <w:keepLines w:val="0"/>
        <w:pageBreakBefore w:val="0"/>
        <w:widowControl w:val="0"/>
        <w:suppressLineNumbers w:val="0"/>
        <w:kinsoku/>
        <w:wordWrap/>
        <w:overflowPunct/>
        <w:topLinePunct w:val="0"/>
        <w:autoSpaceDE w:val="0"/>
        <w:autoSpaceDN/>
        <w:bidi w:val="0"/>
        <w:adjustRightInd/>
        <w:snapToGrid w:val="0"/>
        <w:spacing w:before="0" w:beforeAutospacing="0" w:after="0" w:afterAutospacing="0" w:line="576" w:lineRule="exact"/>
        <w:ind w:right="-94" w:rightChars="0" w:firstLine="640" w:firstLineChars="200"/>
        <w:jc w:val="left"/>
        <w:textAlignment w:val="auto"/>
      </w:pPr>
      <w:r>
        <w:rPr>
          <w:rFonts w:hint="default" w:ascii="仿宋_GB2312" w:eastAsia="仿宋_GB2312" w:cs="仿宋_GB2312" w:hAnsiTheme="minorHAnsi"/>
          <w:kern w:val="2"/>
          <w:sz w:val="32"/>
          <w:szCs w:val="32"/>
          <w:shd w:val="clear" w:fill="FFFFFF"/>
          <w:lang w:val="en-US" w:eastAsia="zh-CN" w:bidi="ar"/>
        </w:rPr>
        <w:t>各项检查结果的录入公示在检查结束后20个工作日内完成，所有检查结果均应在2021年11月15日前完成录入，抽查计划完成率和抽查结果公示率均须达到100%。抽查结果依法属于不公示内容的，应当经单位主要领导审批后纳入不公示信息。对抽查中发现的各类问题，要按照“谁管辖、谁负责”的原则做好后续监管工作衔接，涉嫌犯罪的及时移送司法机关。</w:t>
      </w:r>
    </w:p>
    <w:p>
      <w:pPr>
        <w:keepNext w:val="0"/>
        <w:keepLines w:val="0"/>
        <w:pageBreakBefore w:val="0"/>
        <w:widowControl w:val="0"/>
        <w:suppressLineNumbers w:val="0"/>
        <w:kinsoku/>
        <w:wordWrap/>
        <w:overflowPunct/>
        <w:topLinePunct w:val="0"/>
        <w:autoSpaceDE w:val="0"/>
        <w:autoSpaceDN/>
        <w:bidi w:val="0"/>
        <w:adjustRightInd/>
        <w:snapToGrid w:val="0"/>
        <w:spacing w:before="0" w:beforeAutospacing="0" w:after="0" w:afterAutospacing="0" w:line="576" w:lineRule="exact"/>
        <w:ind w:left="689" w:leftChars="304" w:right="-94" w:rightChars="0" w:hanging="51" w:hangingChars="16"/>
        <w:jc w:val="left"/>
        <w:textAlignment w:val="auto"/>
      </w:pPr>
      <w:r>
        <w:rPr>
          <w:rFonts w:hint="eastAsia" w:ascii="黑体" w:hAnsi="宋体" w:eastAsia="黑体" w:cs="黑体"/>
          <w:kern w:val="2"/>
          <w:sz w:val="32"/>
          <w:szCs w:val="32"/>
          <w:shd w:val="clear" w:fill="FFFFFF"/>
          <w:lang w:val="en-US" w:eastAsia="zh-CN" w:bidi="ar"/>
        </w:rPr>
        <w:t>三、工作要求</w:t>
      </w:r>
    </w:p>
    <w:p>
      <w:pPr>
        <w:keepNext w:val="0"/>
        <w:keepLines w:val="0"/>
        <w:pageBreakBefore w:val="0"/>
        <w:widowControl w:val="0"/>
        <w:suppressLineNumbers w:val="0"/>
        <w:kinsoku/>
        <w:wordWrap/>
        <w:overflowPunct/>
        <w:topLinePunct w:val="0"/>
        <w:autoSpaceDE w:val="0"/>
        <w:autoSpaceDN/>
        <w:bidi w:val="0"/>
        <w:adjustRightInd/>
        <w:snapToGrid w:val="0"/>
        <w:spacing w:before="0" w:beforeAutospacing="0" w:after="0" w:afterAutospacing="0" w:line="576" w:lineRule="exact"/>
        <w:ind w:right="-94" w:rightChars="0" w:firstLine="640" w:firstLineChars="200"/>
        <w:jc w:val="left"/>
        <w:textAlignment w:val="auto"/>
      </w:pPr>
      <w:r>
        <w:rPr>
          <w:rFonts w:hint="default" w:ascii="仿宋_GB2312" w:eastAsia="仿宋_GB2312" w:cs="仿宋_GB2312" w:hAnsiTheme="minorHAnsi"/>
          <w:kern w:val="2"/>
          <w:sz w:val="32"/>
          <w:szCs w:val="32"/>
          <w:shd w:val="clear" w:fill="FFFFFF"/>
          <w:lang w:val="en-US" w:eastAsia="zh-CN" w:bidi="ar"/>
        </w:rPr>
        <w:t>各</w:t>
      </w:r>
      <w:r>
        <w:rPr>
          <w:rFonts w:hint="eastAsia" w:ascii="仿宋_GB2312" w:eastAsia="仿宋_GB2312" w:cs="仿宋_GB2312"/>
          <w:kern w:val="2"/>
          <w:sz w:val="32"/>
          <w:szCs w:val="32"/>
          <w:shd w:val="clear" w:fill="FFFFFF"/>
          <w:lang w:val="en-US" w:eastAsia="zh-CN" w:bidi="ar"/>
        </w:rPr>
        <w:t>股</w:t>
      </w:r>
      <w:r>
        <w:rPr>
          <w:rFonts w:hint="default" w:ascii="仿宋_GB2312" w:eastAsia="仿宋_GB2312" w:cs="仿宋_GB2312" w:hAnsiTheme="minorHAnsi"/>
          <w:kern w:val="2"/>
          <w:sz w:val="32"/>
          <w:szCs w:val="32"/>
          <w:shd w:val="clear" w:fill="FFFFFF"/>
          <w:lang w:val="en-US" w:eastAsia="zh-CN" w:bidi="ar"/>
        </w:rPr>
        <w:t>室要按要求抓好年度计划的实施，确保在规定的时间内完成任务，对需要调整的计划要在</w:t>
      </w:r>
      <w:r>
        <w:rPr>
          <w:rFonts w:hint="eastAsia" w:ascii="仿宋_GB2312" w:eastAsia="仿宋_GB2312" w:cs="仿宋_GB2312"/>
          <w:kern w:val="2"/>
          <w:sz w:val="32"/>
          <w:szCs w:val="32"/>
          <w:shd w:val="clear" w:fill="FFFFFF"/>
          <w:lang w:val="en-US" w:eastAsia="zh-CN" w:bidi="ar"/>
        </w:rPr>
        <w:t>8</w:t>
      </w:r>
      <w:r>
        <w:rPr>
          <w:rFonts w:hint="default" w:ascii="仿宋_GB2312" w:eastAsia="仿宋_GB2312" w:cs="仿宋_GB2312" w:hAnsiTheme="minorHAnsi"/>
          <w:kern w:val="2"/>
          <w:sz w:val="32"/>
          <w:szCs w:val="32"/>
          <w:shd w:val="clear" w:fill="FFFFFF"/>
          <w:lang w:val="en-US" w:eastAsia="zh-CN" w:bidi="ar"/>
        </w:rPr>
        <w:t>月</w:t>
      </w:r>
      <w:r>
        <w:rPr>
          <w:rFonts w:hint="eastAsia" w:ascii="仿宋_GB2312" w:eastAsia="仿宋_GB2312" w:cs="仿宋_GB2312"/>
          <w:kern w:val="2"/>
          <w:sz w:val="32"/>
          <w:szCs w:val="32"/>
          <w:shd w:val="clear" w:fill="FFFFFF"/>
          <w:lang w:val="en-US" w:eastAsia="zh-CN" w:bidi="ar"/>
        </w:rPr>
        <w:t>31</w:t>
      </w:r>
      <w:r>
        <w:rPr>
          <w:rFonts w:hint="default" w:ascii="仿宋_GB2312" w:eastAsia="仿宋_GB2312" w:cs="仿宋_GB2312" w:hAnsiTheme="minorHAnsi"/>
          <w:kern w:val="2"/>
          <w:sz w:val="32"/>
          <w:szCs w:val="32"/>
          <w:shd w:val="clear" w:fill="FFFFFF"/>
          <w:lang w:val="en-US" w:eastAsia="zh-CN" w:bidi="ar"/>
        </w:rPr>
        <w:t>日前将变更申请经分管领导签字后报</w:t>
      </w:r>
      <w:r>
        <w:rPr>
          <w:rFonts w:hint="eastAsia" w:ascii="仿宋_GB2312" w:eastAsia="仿宋_GB2312" w:cs="仿宋_GB2312"/>
          <w:kern w:val="2"/>
          <w:sz w:val="32"/>
          <w:szCs w:val="32"/>
          <w:shd w:val="clear" w:fill="FFFFFF"/>
          <w:lang w:val="en-US" w:eastAsia="zh-CN" w:bidi="ar"/>
        </w:rPr>
        <w:t>区</w:t>
      </w:r>
      <w:r>
        <w:rPr>
          <w:rFonts w:hint="default" w:ascii="仿宋_GB2312" w:eastAsia="仿宋_GB2312" w:cs="仿宋_GB2312" w:hAnsiTheme="minorHAnsi"/>
          <w:kern w:val="2"/>
          <w:sz w:val="32"/>
          <w:szCs w:val="32"/>
          <w:shd w:val="clear" w:fill="FFFFFF"/>
          <w:lang w:val="en-US" w:eastAsia="zh-CN" w:bidi="ar"/>
        </w:rPr>
        <w:t>局信用监管</w:t>
      </w:r>
      <w:r>
        <w:rPr>
          <w:rFonts w:hint="eastAsia" w:ascii="仿宋_GB2312" w:eastAsia="仿宋_GB2312" w:cs="仿宋_GB2312"/>
          <w:kern w:val="2"/>
          <w:sz w:val="32"/>
          <w:szCs w:val="32"/>
          <w:shd w:val="clear" w:fill="FFFFFF"/>
          <w:lang w:val="en-US" w:eastAsia="zh-CN" w:bidi="ar"/>
        </w:rPr>
        <w:t>股</w:t>
      </w:r>
      <w:r>
        <w:rPr>
          <w:rFonts w:hint="default" w:ascii="仿宋_GB2312" w:eastAsia="仿宋_GB2312" w:cs="仿宋_GB2312" w:hAnsiTheme="minorHAnsi"/>
          <w:kern w:val="2"/>
          <w:sz w:val="32"/>
          <w:szCs w:val="32"/>
          <w:shd w:val="clear" w:fill="FFFFFF"/>
          <w:lang w:val="en-US" w:eastAsia="zh-CN" w:bidi="ar"/>
        </w:rPr>
        <w:t>，由信用监管</w:t>
      </w:r>
      <w:r>
        <w:rPr>
          <w:rFonts w:hint="eastAsia" w:ascii="仿宋_GB2312" w:eastAsia="仿宋_GB2312" w:cs="仿宋_GB2312"/>
          <w:kern w:val="2"/>
          <w:sz w:val="32"/>
          <w:szCs w:val="32"/>
          <w:shd w:val="clear" w:fill="FFFFFF"/>
          <w:lang w:val="en-US" w:eastAsia="zh-CN" w:bidi="ar"/>
        </w:rPr>
        <w:t>股</w:t>
      </w:r>
      <w:r>
        <w:rPr>
          <w:rFonts w:hint="default" w:ascii="仿宋_GB2312" w:eastAsia="仿宋_GB2312" w:cs="仿宋_GB2312" w:hAnsiTheme="minorHAnsi"/>
          <w:kern w:val="2"/>
          <w:sz w:val="32"/>
          <w:szCs w:val="32"/>
          <w:shd w:val="clear" w:fill="FFFFFF"/>
          <w:lang w:val="en-US" w:eastAsia="zh-CN" w:bidi="ar"/>
        </w:rPr>
        <w:t>统一调整后对外进行公示。</w:t>
      </w:r>
    </w:p>
    <w:p>
      <w:pPr>
        <w:pStyle w:val="6"/>
        <w:keepNext w:val="0"/>
        <w:keepLines w:val="0"/>
        <w:pageBreakBefore w:val="0"/>
        <w:widowControl w:val="0"/>
        <w:suppressLineNumbers w:val="0"/>
        <w:kinsoku/>
        <w:wordWrap/>
        <w:overflowPunct/>
        <w:topLinePunct w:val="0"/>
        <w:autoSpaceDE w:val="0"/>
        <w:autoSpaceDN/>
        <w:bidi w:val="0"/>
        <w:adjustRightInd/>
        <w:snapToGrid w:val="0"/>
        <w:spacing w:before="0" w:beforeAutospacing="0" w:after="0" w:afterAutospacing="0" w:line="576" w:lineRule="exact"/>
        <w:ind w:left="694" w:leftChars="0" w:right="-94" w:rightChars="0" w:hanging="694" w:hangingChars="217"/>
        <w:textAlignment w:val="auto"/>
        <w:rPr>
          <w:rFonts w:hint="eastAsia" w:ascii="宋体" w:hAnsi="宋体" w:eastAsia="宋体" w:cs="宋体"/>
          <w:color w:val="FF0000"/>
          <w:kern w:val="2"/>
          <w:sz w:val="32"/>
          <w:szCs w:val="32"/>
          <w:shd w:val="clear" w:fill="FFFFFF"/>
          <w:lang w:val="en-US" w:eastAsia="zh-CN"/>
        </w:rPr>
      </w:pPr>
      <w:r>
        <w:rPr>
          <w:rFonts w:hint="eastAsia" w:ascii="宋体" w:hAnsi="宋体" w:eastAsia="宋体" w:cs="宋体"/>
          <w:color w:val="FF0000"/>
          <w:kern w:val="2"/>
          <w:sz w:val="32"/>
          <w:szCs w:val="32"/>
          <w:shd w:val="clear" w:fill="FFFFFF"/>
        </w:rPr>
        <w:t xml:space="preserve"> </w:t>
      </w:r>
      <w:r>
        <w:rPr>
          <w:rFonts w:hint="eastAsia" w:ascii="宋体" w:hAnsi="宋体" w:eastAsia="宋体" w:cs="宋体"/>
          <w:color w:val="FF0000"/>
          <w:kern w:val="2"/>
          <w:sz w:val="32"/>
          <w:szCs w:val="32"/>
          <w:shd w:val="clear" w:fill="FFFFFF"/>
          <w:lang w:val="en-US" w:eastAsia="zh-CN"/>
        </w:rPr>
        <w:t xml:space="preserve">   </w:t>
      </w:r>
    </w:p>
    <w:p>
      <w:pPr>
        <w:keepNext w:val="0"/>
        <w:keepLines w:val="0"/>
        <w:pageBreakBefore w:val="0"/>
        <w:widowControl w:val="0"/>
        <w:suppressLineNumbers w:val="0"/>
        <w:kinsoku/>
        <w:wordWrap/>
        <w:overflowPunct/>
        <w:topLinePunct w:val="0"/>
        <w:autoSpaceDE w:val="0"/>
        <w:autoSpaceDN/>
        <w:bidi w:val="0"/>
        <w:adjustRightInd/>
        <w:snapToGrid w:val="0"/>
        <w:spacing w:before="0" w:beforeAutospacing="0" w:after="0" w:afterAutospacing="0" w:line="576" w:lineRule="exact"/>
        <w:ind w:left="1918" w:leftChars="304" w:right="-94" w:rightChars="0" w:hanging="1280" w:hangingChars="400"/>
        <w:jc w:val="left"/>
        <w:textAlignment w:val="auto"/>
        <w:rPr>
          <w:rFonts w:hint="eastAsia" w:ascii="仿宋_GB2312" w:eastAsia="仿宋_GB2312" w:cs="仿宋_GB2312" w:hAnsiTheme="minorHAnsi"/>
          <w:kern w:val="2"/>
          <w:sz w:val="32"/>
          <w:szCs w:val="32"/>
          <w:shd w:val="clear" w:fill="FFFFFF"/>
          <w:lang w:val="en-US" w:eastAsia="zh-CN" w:bidi="ar"/>
        </w:rPr>
      </w:pPr>
      <w:r>
        <w:rPr>
          <w:rFonts w:hint="eastAsia" w:ascii="仿宋_GB2312" w:eastAsia="仿宋_GB2312" w:cs="仿宋_GB2312" w:hAnsiTheme="minorHAnsi"/>
          <w:kern w:val="2"/>
          <w:sz w:val="32"/>
          <w:szCs w:val="32"/>
          <w:shd w:val="clear" w:fill="FFFFFF"/>
          <w:lang w:val="en-US" w:eastAsia="zh-CN" w:bidi="ar"/>
        </w:rPr>
        <w:t>附件：1.广元市昭化区市场监管局</w:t>
      </w:r>
      <w:r>
        <w:rPr>
          <w:rFonts w:hint="default" w:ascii="仿宋_GB2312" w:eastAsia="仿宋_GB2312" w:cs="仿宋_GB2312" w:hAnsiTheme="minorHAnsi"/>
          <w:kern w:val="2"/>
          <w:sz w:val="32"/>
          <w:szCs w:val="32"/>
          <w:shd w:val="clear" w:fill="FFFFFF"/>
          <w:lang w:val="en-US" w:eastAsia="zh-CN" w:bidi="ar"/>
        </w:rPr>
        <w:t>2021年度</w:t>
      </w:r>
      <w:r>
        <w:rPr>
          <w:rFonts w:hint="eastAsia" w:ascii="仿宋_GB2312" w:eastAsia="仿宋_GB2312" w:cs="仿宋_GB2312"/>
          <w:kern w:val="2"/>
          <w:sz w:val="32"/>
          <w:szCs w:val="32"/>
          <w:shd w:val="clear" w:fill="FFFFFF"/>
          <w:lang w:val="en-US" w:eastAsia="zh-CN" w:bidi="ar"/>
        </w:rPr>
        <w:t>“</w:t>
      </w:r>
      <w:r>
        <w:rPr>
          <w:rFonts w:hint="default" w:ascii="仿宋_GB2312" w:eastAsia="仿宋_GB2312" w:cs="仿宋_GB2312" w:hAnsiTheme="minorHAnsi"/>
          <w:kern w:val="2"/>
          <w:sz w:val="32"/>
          <w:szCs w:val="32"/>
          <w:shd w:val="clear" w:fill="FFFFFF"/>
          <w:lang w:val="en-US" w:eastAsia="zh-CN" w:bidi="ar"/>
        </w:rPr>
        <w:t>双随机、一公开</w:t>
      </w:r>
      <w:r>
        <w:rPr>
          <w:rFonts w:hint="eastAsia" w:ascii="仿宋_GB2312" w:eastAsia="仿宋_GB2312" w:cs="仿宋_GB2312"/>
          <w:kern w:val="2"/>
          <w:sz w:val="32"/>
          <w:szCs w:val="32"/>
          <w:shd w:val="clear" w:fill="FFFFFF"/>
          <w:lang w:val="en-US" w:eastAsia="zh-CN" w:bidi="ar"/>
        </w:rPr>
        <w:t>”</w:t>
      </w:r>
      <w:r>
        <w:rPr>
          <w:rFonts w:hint="default" w:ascii="仿宋_GB2312" w:eastAsia="仿宋_GB2312" w:cs="仿宋_GB2312" w:hAnsiTheme="minorHAnsi"/>
          <w:kern w:val="2"/>
          <w:sz w:val="32"/>
          <w:szCs w:val="32"/>
          <w:shd w:val="clear" w:fill="FFFFFF"/>
          <w:lang w:val="en-US" w:eastAsia="zh-CN" w:bidi="ar"/>
        </w:rPr>
        <w:t>监管工作</w:t>
      </w:r>
      <w:r>
        <w:rPr>
          <w:rFonts w:hint="eastAsia" w:ascii="仿宋_GB2312" w:eastAsia="仿宋_GB2312" w:cs="仿宋_GB2312" w:hAnsiTheme="minorHAnsi"/>
          <w:kern w:val="2"/>
          <w:sz w:val="32"/>
          <w:szCs w:val="32"/>
          <w:shd w:val="clear" w:fill="FFFFFF"/>
          <w:lang w:val="en-US" w:eastAsia="zh-CN" w:bidi="ar"/>
        </w:rPr>
        <w:t>细则</w:t>
      </w:r>
    </w:p>
    <w:p>
      <w:pPr>
        <w:keepNext w:val="0"/>
        <w:keepLines w:val="0"/>
        <w:pageBreakBefore w:val="0"/>
        <w:widowControl w:val="0"/>
        <w:suppressLineNumbers w:val="0"/>
        <w:kinsoku/>
        <w:wordWrap/>
        <w:overflowPunct/>
        <w:topLinePunct w:val="0"/>
        <w:autoSpaceDE w:val="0"/>
        <w:autoSpaceDN/>
        <w:bidi w:val="0"/>
        <w:adjustRightInd/>
        <w:snapToGrid w:val="0"/>
        <w:spacing w:before="0" w:beforeAutospacing="0" w:after="0" w:afterAutospacing="0" w:line="576" w:lineRule="exact"/>
        <w:ind w:left="1918" w:leftChars="304" w:right="-94" w:rightChars="0" w:hanging="1280" w:hangingChars="400"/>
        <w:jc w:val="left"/>
        <w:textAlignment w:val="auto"/>
        <w:rPr>
          <w:rFonts w:hint="eastAsia" w:ascii="仿宋_GB2312" w:eastAsia="仿宋_GB2312" w:cs="仿宋_GB2312" w:hAnsiTheme="minorHAnsi"/>
          <w:kern w:val="2"/>
          <w:sz w:val="32"/>
          <w:szCs w:val="32"/>
          <w:shd w:val="clear" w:fill="FFFFFF"/>
          <w:lang w:val="en-US" w:eastAsia="zh-CN" w:bidi="ar"/>
        </w:rPr>
      </w:pPr>
      <w:r>
        <w:rPr>
          <w:rFonts w:hint="default" w:ascii="仿宋_GB2312" w:eastAsia="仿宋_GB2312" w:cs="仿宋_GB2312" w:hAnsiTheme="minorHAnsi"/>
          <w:kern w:val="2"/>
          <w:sz w:val="32"/>
          <w:szCs w:val="32"/>
          <w:shd w:val="clear" w:fill="FFFFFF"/>
          <w:lang w:val="en-US" w:eastAsia="zh-CN" w:bidi="ar"/>
        </w:rPr>
        <w:t xml:space="preserve"> </w:t>
      </w:r>
      <w:r>
        <w:rPr>
          <w:rFonts w:hint="eastAsia" w:ascii="仿宋_GB2312" w:eastAsia="仿宋_GB2312" w:cs="仿宋_GB2312" w:hAnsiTheme="minorHAnsi"/>
          <w:kern w:val="2"/>
          <w:sz w:val="32"/>
          <w:szCs w:val="32"/>
          <w:shd w:val="clear" w:fill="FFFFFF"/>
          <w:lang w:val="en-US" w:eastAsia="zh-CN" w:bidi="ar"/>
        </w:rPr>
        <w:t xml:space="preserve">     2.广元市昭化区市场监管局2021年度“双随机、一公开”监管工作计划表</w:t>
      </w:r>
    </w:p>
    <w:p>
      <w:pPr>
        <w:keepNext w:val="0"/>
        <w:keepLines w:val="0"/>
        <w:pageBreakBefore w:val="0"/>
        <w:widowControl w:val="0"/>
        <w:suppressLineNumbers w:val="0"/>
        <w:kinsoku/>
        <w:wordWrap/>
        <w:overflowPunct/>
        <w:topLinePunct w:val="0"/>
        <w:autoSpaceDE w:val="0"/>
        <w:autoSpaceDN/>
        <w:bidi w:val="0"/>
        <w:adjustRightInd/>
        <w:snapToGrid w:val="0"/>
        <w:spacing w:before="0" w:beforeAutospacing="0" w:after="0" w:afterAutospacing="0" w:line="576" w:lineRule="exact"/>
        <w:ind w:right="-94" w:rightChars="0"/>
        <w:jc w:val="left"/>
        <w:textAlignment w:val="auto"/>
        <w:rPr>
          <w:rFonts w:hint="default" w:ascii="仿宋_GB2312" w:eastAsia="仿宋_GB2312" w:cs="仿宋_GB2312" w:hAnsiTheme="minorHAnsi"/>
          <w:kern w:val="2"/>
          <w:sz w:val="32"/>
          <w:szCs w:val="32"/>
          <w:shd w:val="clear" w:fill="FFFFFF"/>
          <w:lang w:val="en-US" w:eastAsia="zh-CN" w:bidi="ar"/>
        </w:rPr>
      </w:pPr>
    </w:p>
    <w:p>
      <w:pPr>
        <w:keepNext w:val="0"/>
        <w:keepLines w:val="0"/>
        <w:pageBreakBefore w:val="0"/>
        <w:widowControl w:val="0"/>
        <w:suppressLineNumbers w:val="0"/>
        <w:kinsoku/>
        <w:wordWrap/>
        <w:overflowPunct/>
        <w:topLinePunct w:val="0"/>
        <w:autoSpaceDE w:val="0"/>
        <w:autoSpaceDN/>
        <w:bidi w:val="0"/>
        <w:adjustRightInd/>
        <w:snapToGrid w:val="0"/>
        <w:spacing w:before="0" w:beforeAutospacing="0" w:after="0" w:afterAutospacing="0" w:line="576" w:lineRule="exact"/>
        <w:ind w:left="3254" w:leftChars="0" w:right="-94" w:rightChars="0" w:hanging="3254" w:hangingChars="1017"/>
        <w:jc w:val="left"/>
        <w:textAlignment w:val="auto"/>
        <w:rPr>
          <w:rFonts w:hint="default" w:ascii="仿宋_GB2312" w:eastAsia="仿宋_GB2312" w:cs="仿宋_GB2312" w:hAnsiTheme="minorHAnsi"/>
          <w:kern w:val="2"/>
          <w:sz w:val="32"/>
          <w:szCs w:val="32"/>
          <w:shd w:val="clear" w:fill="FFFFFF"/>
          <w:lang w:val="en-US" w:eastAsia="zh-CN" w:bidi="ar"/>
        </w:rPr>
      </w:pPr>
    </w:p>
    <w:p>
      <w:pPr>
        <w:keepNext w:val="0"/>
        <w:keepLines w:val="0"/>
        <w:pageBreakBefore w:val="0"/>
        <w:widowControl w:val="0"/>
        <w:suppressLineNumbers w:val="0"/>
        <w:kinsoku/>
        <w:wordWrap/>
        <w:overflowPunct/>
        <w:topLinePunct w:val="0"/>
        <w:autoSpaceDE w:val="0"/>
        <w:autoSpaceDN/>
        <w:bidi w:val="0"/>
        <w:adjustRightInd/>
        <w:snapToGrid w:val="0"/>
        <w:spacing w:before="0" w:beforeAutospacing="0" w:after="0" w:afterAutospacing="0" w:line="576" w:lineRule="exact"/>
        <w:ind w:left="3511" w:leftChars="1672" w:right="-94" w:rightChars="0" w:firstLine="268" w:firstLineChars="84"/>
        <w:jc w:val="left"/>
        <w:textAlignment w:val="auto"/>
      </w:pPr>
      <w:r>
        <w:rPr>
          <w:rFonts w:hint="default" w:ascii="仿宋_GB2312" w:eastAsia="仿宋_GB2312" w:cs="仿宋_GB2312" w:hAnsiTheme="minorHAnsi"/>
          <w:kern w:val="2"/>
          <w:sz w:val="32"/>
          <w:szCs w:val="32"/>
          <w:shd w:val="clear" w:fill="FFFFFF"/>
          <w:lang w:val="en-US" w:eastAsia="zh-CN" w:bidi="ar"/>
        </w:rPr>
        <w:t>广元</w:t>
      </w:r>
      <w:r>
        <w:rPr>
          <w:rFonts w:hint="eastAsia" w:ascii="仿宋_GB2312" w:eastAsia="仿宋_GB2312" w:cs="仿宋_GB2312"/>
          <w:kern w:val="2"/>
          <w:sz w:val="32"/>
          <w:szCs w:val="32"/>
          <w:shd w:val="clear" w:fill="FFFFFF"/>
          <w:lang w:val="en-US" w:eastAsia="zh-CN" w:bidi="ar"/>
        </w:rPr>
        <w:t>昭化区</w:t>
      </w:r>
      <w:r>
        <w:rPr>
          <w:rFonts w:hint="default" w:ascii="仿宋_GB2312" w:eastAsia="仿宋_GB2312" w:cs="仿宋_GB2312" w:hAnsiTheme="minorHAnsi"/>
          <w:kern w:val="2"/>
          <w:sz w:val="32"/>
          <w:szCs w:val="32"/>
          <w:shd w:val="clear" w:fill="FFFFFF"/>
          <w:lang w:val="en-US" w:eastAsia="zh-CN" w:bidi="ar"/>
        </w:rPr>
        <w:t>市市场监督管理局</w:t>
      </w:r>
    </w:p>
    <w:p>
      <w:pPr>
        <w:keepNext w:val="0"/>
        <w:keepLines w:val="0"/>
        <w:pageBreakBefore w:val="0"/>
        <w:widowControl w:val="0"/>
        <w:suppressLineNumbers w:val="0"/>
        <w:kinsoku/>
        <w:wordWrap/>
        <w:overflowPunct/>
        <w:topLinePunct w:val="0"/>
        <w:autoSpaceDE w:val="0"/>
        <w:autoSpaceDN/>
        <w:bidi w:val="0"/>
        <w:adjustRightInd/>
        <w:snapToGrid w:val="0"/>
        <w:spacing w:before="0" w:beforeAutospacing="0" w:after="0" w:afterAutospacing="0" w:line="576" w:lineRule="exact"/>
        <w:ind w:left="694" w:leftChars="0" w:right="-94" w:rightChars="0" w:hanging="694" w:hangingChars="217"/>
        <w:jc w:val="left"/>
        <w:textAlignment w:val="auto"/>
        <w:rPr>
          <w:rFonts w:hint="default" w:ascii="仿宋_GB2312" w:eastAsia="仿宋_GB2312" w:cs="仿宋_GB2312" w:hAnsiTheme="minorHAnsi"/>
          <w:kern w:val="2"/>
          <w:sz w:val="32"/>
          <w:szCs w:val="32"/>
          <w:shd w:val="clear" w:fill="FFFFFF"/>
          <w:lang w:val="en-US" w:eastAsia="zh-CN" w:bidi="ar"/>
        </w:rPr>
      </w:pPr>
      <w:r>
        <w:rPr>
          <w:rFonts w:hint="default" w:ascii="仿宋_GB2312" w:eastAsia="仿宋_GB2312" w:cs="仿宋_GB2312" w:hAnsiTheme="minorHAnsi"/>
          <w:kern w:val="2"/>
          <w:sz w:val="32"/>
          <w:szCs w:val="32"/>
          <w:shd w:val="clear" w:fill="FFFFFF"/>
          <w:lang w:val="en-US" w:eastAsia="zh-CN" w:bidi="ar"/>
        </w:rPr>
        <w:t xml:space="preserve">                  </w:t>
      </w:r>
      <w:r>
        <w:rPr>
          <w:rFonts w:hint="eastAsia" w:ascii="仿宋_GB2312" w:eastAsia="仿宋_GB2312" w:cs="仿宋_GB2312"/>
          <w:kern w:val="2"/>
          <w:sz w:val="32"/>
          <w:szCs w:val="32"/>
          <w:shd w:val="clear" w:fill="FFFFFF"/>
          <w:lang w:val="en-US" w:eastAsia="zh-CN" w:bidi="ar"/>
        </w:rPr>
        <w:t xml:space="preserve">         </w:t>
      </w:r>
      <w:r>
        <w:rPr>
          <w:rFonts w:hint="default" w:ascii="仿宋_GB2312" w:eastAsia="仿宋_GB2312" w:cs="仿宋_GB2312" w:hAnsiTheme="minorHAnsi"/>
          <w:kern w:val="2"/>
          <w:sz w:val="32"/>
          <w:szCs w:val="32"/>
          <w:shd w:val="clear" w:fill="FFFFFF"/>
          <w:lang w:val="en-US" w:eastAsia="zh-CN" w:bidi="ar"/>
        </w:rPr>
        <w:t xml:space="preserve"> 2021年</w:t>
      </w:r>
      <w:r>
        <w:rPr>
          <w:rFonts w:hint="eastAsia" w:ascii="仿宋_GB2312" w:eastAsia="仿宋_GB2312" w:cs="仿宋_GB2312"/>
          <w:kern w:val="2"/>
          <w:sz w:val="32"/>
          <w:szCs w:val="32"/>
          <w:shd w:val="clear" w:fill="FFFFFF"/>
          <w:lang w:val="en-US" w:eastAsia="zh-CN" w:bidi="ar"/>
        </w:rPr>
        <w:t>2</w:t>
      </w:r>
      <w:r>
        <w:rPr>
          <w:rFonts w:hint="default" w:ascii="仿宋_GB2312" w:eastAsia="仿宋_GB2312" w:cs="仿宋_GB2312" w:hAnsiTheme="minorHAnsi"/>
          <w:kern w:val="2"/>
          <w:sz w:val="32"/>
          <w:szCs w:val="32"/>
          <w:shd w:val="clear" w:fill="FFFFFF"/>
          <w:lang w:val="en-US" w:eastAsia="zh-CN" w:bidi="ar"/>
        </w:rPr>
        <w:t>月</w:t>
      </w:r>
      <w:r>
        <w:rPr>
          <w:rFonts w:hint="eastAsia" w:ascii="仿宋_GB2312" w:eastAsia="仿宋_GB2312" w:cs="仿宋_GB2312"/>
          <w:kern w:val="2"/>
          <w:sz w:val="32"/>
          <w:szCs w:val="32"/>
          <w:shd w:val="clear" w:fill="FFFFFF"/>
          <w:lang w:val="en-US" w:eastAsia="zh-CN" w:bidi="ar"/>
        </w:rPr>
        <w:t>2</w:t>
      </w:r>
      <w:r>
        <w:rPr>
          <w:rFonts w:hint="default" w:ascii="仿宋_GB2312" w:eastAsia="仿宋_GB2312" w:cs="仿宋_GB2312" w:hAnsiTheme="minorHAnsi"/>
          <w:kern w:val="2"/>
          <w:sz w:val="32"/>
          <w:szCs w:val="32"/>
          <w:shd w:val="clear" w:fill="FFFFFF"/>
          <w:lang w:val="en-US" w:eastAsia="zh-CN" w:bidi="ar"/>
        </w:rPr>
        <w:t>日</w:t>
      </w:r>
    </w:p>
    <w:p>
      <w:pPr>
        <w:keepNext w:val="0"/>
        <w:keepLines w:val="0"/>
        <w:pageBreakBefore w:val="0"/>
        <w:widowControl w:val="0"/>
        <w:suppressLineNumbers w:val="0"/>
        <w:kinsoku/>
        <w:wordWrap/>
        <w:overflowPunct/>
        <w:topLinePunct w:val="0"/>
        <w:autoSpaceDE w:val="0"/>
        <w:autoSpaceDN/>
        <w:bidi w:val="0"/>
        <w:adjustRightInd/>
        <w:snapToGrid w:val="0"/>
        <w:spacing w:before="0" w:beforeAutospacing="0" w:after="0" w:afterAutospacing="0" w:line="576" w:lineRule="exact"/>
        <w:ind w:left="694" w:leftChars="0" w:right="-94" w:rightChars="0" w:hanging="694" w:hangingChars="217"/>
        <w:jc w:val="left"/>
        <w:textAlignment w:val="auto"/>
        <w:rPr>
          <w:rFonts w:hint="default" w:ascii="仿宋_GB2312" w:eastAsia="仿宋_GB2312" w:cs="仿宋_GB2312" w:hAnsiTheme="minorHAnsi"/>
          <w:kern w:val="2"/>
          <w:sz w:val="32"/>
          <w:szCs w:val="32"/>
          <w:shd w:val="clear" w:fill="FFFFFF"/>
          <w:lang w:val="en-US" w:eastAsia="zh-CN" w:bidi="ar"/>
        </w:rPr>
      </w:pPr>
    </w:p>
    <w:p>
      <w:pPr>
        <w:keepNext w:val="0"/>
        <w:keepLines w:val="0"/>
        <w:pageBreakBefore w:val="0"/>
        <w:widowControl w:val="0"/>
        <w:suppressLineNumbers w:val="0"/>
        <w:kinsoku/>
        <w:wordWrap/>
        <w:overflowPunct/>
        <w:topLinePunct w:val="0"/>
        <w:autoSpaceDE w:val="0"/>
        <w:autoSpaceDN/>
        <w:bidi w:val="0"/>
        <w:adjustRightInd/>
        <w:snapToGrid w:val="0"/>
        <w:spacing w:before="0" w:beforeAutospacing="0" w:after="0" w:afterAutospacing="0" w:line="576" w:lineRule="exact"/>
        <w:ind w:left="694" w:leftChars="0" w:right="-94" w:rightChars="0" w:hanging="694" w:hangingChars="217"/>
        <w:jc w:val="left"/>
        <w:textAlignment w:val="auto"/>
        <w:rPr>
          <w:rFonts w:hint="default" w:ascii="仿宋_GB2312" w:eastAsia="仿宋_GB2312" w:cs="仿宋_GB2312" w:hAnsiTheme="minorHAnsi"/>
          <w:kern w:val="2"/>
          <w:sz w:val="32"/>
          <w:szCs w:val="32"/>
          <w:shd w:val="clear" w:fill="FFFFFF"/>
          <w:lang w:val="en-US" w:eastAsia="zh-CN" w:bidi="ar"/>
        </w:rPr>
      </w:pPr>
    </w:p>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广元市昭化区市场监管局</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kern w:val="2"/>
          <w:sz w:val="44"/>
          <w:szCs w:val="44"/>
          <w:shd w:val="clear" w:fill="FFFFFF"/>
          <w:lang w:val="en-US" w:eastAsia="zh-CN" w:bidi="ar"/>
        </w:rPr>
        <w:t>2021年度“双随机、一公开”监管工作细则</w:t>
      </w:r>
    </w:p>
    <w:p>
      <w:pPr>
        <w:keepNext w:val="0"/>
        <w:keepLines w:val="0"/>
        <w:widowControl w:val="0"/>
        <w:suppressLineNumbers w:val="0"/>
        <w:autoSpaceDE w:val="0"/>
        <w:autoSpaceDN/>
        <w:snapToGrid w:val="0"/>
        <w:spacing w:before="0" w:beforeAutospacing="0" w:after="0" w:afterAutospacing="0" w:line="570" w:lineRule="exact"/>
        <w:ind w:left="781" w:leftChars="0" w:right="-94" w:rightChars="0" w:hanging="781" w:hangingChars="217"/>
        <w:jc w:val="center"/>
        <w:rPr>
          <w:rFonts w:hint="eastAsia" w:ascii="黑体" w:hAnsi="黑体" w:eastAsia="黑体" w:cs="黑体"/>
          <w:kern w:val="2"/>
          <w:sz w:val="36"/>
          <w:szCs w:val="36"/>
          <w:shd w:val="clear" w:fill="FFFFFF"/>
          <w:lang w:val="en-US" w:eastAsia="zh-CN" w:bidi="ar"/>
        </w:rPr>
      </w:pP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76" w:lineRule="exact"/>
        <w:jc w:val="center"/>
        <w:textAlignment w:val="auto"/>
        <w:rPr>
          <w:rFonts w:ascii="仿宋" w:hAnsi="仿宋" w:eastAsia="仿宋"/>
          <w:b/>
          <w:color w:val="000000" w:themeColor="text1"/>
          <w:sz w:val="32"/>
          <w:szCs w:val="32"/>
          <w14:textFill>
            <w14:solidFill>
              <w14:schemeClr w14:val="tx1"/>
            </w14:solidFill>
          </w14:textFill>
        </w:rPr>
      </w:pPr>
      <w:r>
        <w:rPr>
          <w:rFonts w:hint="eastAsia" w:ascii="黑体" w:hAnsi="黑体" w:eastAsia="黑体" w:cs="黑体"/>
          <w:b/>
          <w:color w:val="000000" w:themeColor="text1"/>
          <w:sz w:val="32"/>
          <w:szCs w:val="32"/>
          <w14:textFill>
            <w14:solidFill>
              <w14:schemeClr w14:val="tx1"/>
            </w14:solidFill>
          </w14:textFill>
        </w:rPr>
        <w:t xml:space="preserve">第一章 </w:t>
      </w:r>
      <w:r>
        <w:rPr>
          <w:rFonts w:hint="eastAsia" w:ascii="黑体" w:hAnsi="黑体" w:eastAsia="黑体" w:cs="黑体"/>
          <w:b/>
          <w:color w:val="000000" w:themeColor="text1"/>
          <w:sz w:val="32"/>
          <w:szCs w:val="32"/>
          <w:lang w:val="en-US" w:eastAsia="zh-CN"/>
          <w14:textFill>
            <w14:solidFill>
              <w14:schemeClr w14:val="tx1"/>
            </w14:solidFill>
          </w14:textFill>
        </w:rPr>
        <w:t xml:space="preserve"> </w:t>
      </w:r>
      <w:r>
        <w:rPr>
          <w:rFonts w:hint="eastAsia" w:ascii="黑体" w:hAnsi="黑体" w:eastAsia="黑体" w:cs="黑体"/>
          <w:b/>
          <w:color w:val="000000" w:themeColor="text1"/>
          <w:sz w:val="32"/>
          <w:szCs w:val="32"/>
          <w14:textFill>
            <w14:solidFill>
              <w14:schemeClr w14:val="tx1"/>
            </w14:solidFill>
          </w14:textFill>
        </w:rPr>
        <w:t>总则</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76" w:lineRule="exact"/>
        <w:ind w:firstLine="630"/>
        <w:textAlignment w:val="auto"/>
        <w:rPr>
          <w:rFonts w:hint="default" w:ascii="Times New Roman" w:hAnsi="Times New Roman" w:eastAsia="仿宋_GB2312" w:cs="Times New Roman"/>
          <w:color w:val="000000" w:themeColor="text1"/>
          <w:kern w:val="0"/>
          <w:sz w:val="32"/>
          <w:szCs w:val="32"/>
          <w:shd w:val="clear" w:fill="FFFFFF"/>
          <w:lang w:val="en-US" w:eastAsia="zh-CN" w:bidi="ar"/>
          <w14:textFill>
            <w14:solidFill>
              <w14:schemeClr w14:val="tx1"/>
            </w14:solidFill>
          </w14:textFill>
        </w:rPr>
      </w:pPr>
      <w:r>
        <w:rPr>
          <w:rFonts w:hint="eastAsia" w:ascii="Times New Roman" w:hAnsi="Times New Roman" w:eastAsia="仿宋_GB2312" w:cs="Times New Roman"/>
          <w:color w:val="000000" w:themeColor="text1"/>
          <w:kern w:val="0"/>
          <w:sz w:val="32"/>
          <w:szCs w:val="32"/>
          <w:shd w:val="clear" w:fill="FFFFFF"/>
          <w:lang w:val="en-US" w:eastAsia="zh-CN" w:bidi="ar"/>
          <w14:textFill>
            <w14:solidFill>
              <w14:schemeClr w14:val="tx1"/>
            </w14:solidFill>
          </w14:textFill>
        </w:rPr>
        <w:t>第一条 为规范市场监管执法行为，保障执法公平、公正、公开，依法维护市场主体合法权益，营造公平竞争市场环境，按照《优化营商环境条例》和国务院办公厅《关于推广随机抽查规范事中事后监管的通知》（国办发〔2015〕58号）、《市场监管总局关于全面推进“双随机、一公开”监管工作的通知》（国市监信〔2019〕38号）和《四川省人民政府在全省市场监管领域全面推行部门联合“双随机、一公开”监管的实施意见》（川府发〔2019〕23号）等文件精神，结合昭化实际</w:t>
      </w:r>
      <w:r>
        <w:rPr>
          <w:rFonts w:hint="default" w:ascii="Times New Roman" w:hAnsi="Times New Roman" w:eastAsia="仿宋_GB2312" w:cs="Times New Roman"/>
          <w:color w:val="000000" w:themeColor="text1"/>
          <w:kern w:val="0"/>
          <w:sz w:val="32"/>
          <w:szCs w:val="32"/>
          <w:shd w:val="clear" w:fill="FFFFFF"/>
          <w:lang w:val="en-US" w:eastAsia="zh-CN" w:bidi="ar"/>
          <w14:textFill>
            <w14:solidFill>
              <w14:schemeClr w14:val="tx1"/>
            </w14:solidFill>
          </w14:textFill>
        </w:rPr>
        <w:t>制定本</w:t>
      </w:r>
      <w:r>
        <w:rPr>
          <w:rFonts w:hint="eastAsia" w:ascii="Times New Roman" w:hAnsi="Times New Roman" w:eastAsia="仿宋_GB2312" w:cs="Times New Roman"/>
          <w:color w:val="000000" w:themeColor="text1"/>
          <w:kern w:val="0"/>
          <w:sz w:val="32"/>
          <w:szCs w:val="32"/>
          <w:shd w:val="clear" w:fill="FFFFFF"/>
          <w:lang w:val="en-US" w:eastAsia="zh-CN" w:bidi="ar"/>
          <w14:textFill>
            <w14:solidFill>
              <w14:schemeClr w14:val="tx1"/>
            </w14:solidFill>
          </w14:textFill>
        </w:rPr>
        <w:t>办法</w:t>
      </w:r>
      <w:r>
        <w:rPr>
          <w:rFonts w:hint="default" w:ascii="Times New Roman" w:hAnsi="Times New Roman" w:eastAsia="仿宋_GB2312" w:cs="Times New Roman"/>
          <w:color w:val="000000" w:themeColor="text1"/>
          <w:kern w:val="0"/>
          <w:sz w:val="32"/>
          <w:szCs w:val="32"/>
          <w:shd w:val="clear" w:fill="FFFFFF"/>
          <w:lang w:val="en-US" w:eastAsia="zh-CN" w:bidi="ar"/>
          <w14:textFill>
            <w14:solidFill>
              <w14:schemeClr w14:val="tx1"/>
            </w14:solidFill>
          </w14:textFill>
        </w:rPr>
        <w:t>。</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76" w:lineRule="exact"/>
        <w:ind w:firstLine="630"/>
        <w:textAlignment w:val="auto"/>
        <w:rPr>
          <w:rFonts w:hint="default" w:ascii="Times New Roman" w:hAnsi="Times New Roman" w:eastAsia="仿宋_GB2312" w:cs="Times New Roman"/>
          <w:color w:val="000000" w:themeColor="text1"/>
          <w:kern w:val="0"/>
          <w:sz w:val="32"/>
          <w:szCs w:val="32"/>
          <w:shd w:val="clear" w:fill="FFFFFF"/>
          <w:lang w:val="en-US" w:eastAsia="zh-CN" w:bidi="ar"/>
          <w14:textFill>
            <w14:solidFill>
              <w14:schemeClr w14:val="tx1"/>
            </w14:solidFill>
          </w14:textFill>
        </w:rPr>
      </w:pPr>
      <w:r>
        <w:rPr>
          <w:rFonts w:hint="eastAsia" w:ascii="Times New Roman" w:hAnsi="Times New Roman" w:eastAsia="仿宋_GB2312" w:cs="Times New Roman"/>
          <w:color w:val="000000" w:themeColor="text1"/>
          <w:kern w:val="0"/>
          <w:sz w:val="32"/>
          <w:szCs w:val="32"/>
          <w:shd w:val="clear" w:fill="FFFFFF"/>
          <w:lang w:val="en-US" w:eastAsia="zh-CN" w:bidi="ar"/>
          <w14:textFill>
            <w14:solidFill>
              <w14:schemeClr w14:val="tx1"/>
            </w14:solidFill>
          </w14:textFill>
        </w:rPr>
        <w:t>第二条 系统内各所、股、室、队、中心（以下简称业务部门）采用“双随机、一公开”方式实施市场监管，应当遵守本办法。</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76" w:lineRule="exact"/>
        <w:ind w:firstLine="630"/>
        <w:textAlignment w:val="auto"/>
        <w:rPr>
          <w:rFonts w:hint="eastAsia" w:ascii="Times New Roman" w:hAnsi="Times New Roman" w:eastAsia="仿宋_GB2312" w:cs="Times New Roman"/>
          <w:color w:val="000000" w:themeColor="text1"/>
          <w:kern w:val="0"/>
          <w:sz w:val="32"/>
          <w:szCs w:val="32"/>
          <w:shd w:val="clear" w:fill="FFFFFF"/>
          <w:lang w:val="en-US" w:eastAsia="zh-CN" w:bidi="ar"/>
          <w14:textFill>
            <w14:solidFill>
              <w14:schemeClr w14:val="tx1"/>
            </w14:solidFill>
          </w14:textFill>
        </w:rPr>
      </w:pPr>
      <w:r>
        <w:rPr>
          <w:rFonts w:hint="eastAsia" w:ascii="Times New Roman" w:hAnsi="Times New Roman" w:eastAsia="仿宋_GB2312" w:cs="Times New Roman"/>
          <w:color w:val="000000" w:themeColor="text1"/>
          <w:kern w:val="0"/>
          <w:sz w:val="32"/>
          <w:szCs w:val="32"/>
          <w:shd w:val="clear" w:fill="FFFFFF"/>
          <w:lang w:val="en-US" w:eastAsia="zh-CN" w:bidi="ar"/>
          <w14:textFill>
            <w14:solidFill>
              <w14:schemeClr w14:val="tx1"/>
            </w14:solidFill>
          </w14:textFill>
        </w:rPr>
        <w:t>第三条 本办法所称“双随机、一公开”，是指市场监督管部门根据抽查事项清单和计划随机抽取检查对象、随机选派执法检查人员进行检查，并公开检查结果的监督检查活动。本行政辖区市场监管领域行政检查（本办法第五条例外情况除外）均采取“双随机、一公开”方式进行，未列入随机抽查事项清单的检查事项不得擅自随意进行。</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76" w:lineRule="exact"/>
        <w:ind w:firstLine="630"/>
        <w:textAlignment w:val="auto"/>
        <w:rPr>
          <w:rFonts w:hint="eastAsia" w:ascii="Times New Roman" w:hAnsi="Times New Roman" w:eastAsia="仿宋_GB2312" w:cs="Times New Roman"/>
          <w:color w:val="000000" w:themeColor="text1"/>
          <w:kern w:val="0"/>
          <w:sz w:val="32"/>
          <w:szCs w:val="32"/>
          <w:shd w:val="clear" w:fill="FFFFFF"/>
          <w:lang w:val="en-US" w:eastAsia="zh-CN" w:bidi="ar"/>
          <w14:textFill>
            <w14:solidFill>
              <w14:schemeClr w14:val="tx1"/>
            </w14:solidFill>
          </w14:textFill>
        </w:rPr>
      </w:pPr>
      <w:r>
        <w:rPr>
          <w:rFonts w:hint="eastAsia" w:ascii="Times New Roman" w:hAnsi="Times New Roman" w:eastAsia="仿宋_GB2312" w:cs="Times New Roman"/>
          <w:color w:val="000000" w:themeColor="text1"/>
          <w:kern w:val="0"/>
          <w:sz w:val="32"/>
          <w:szCs w:val="32"/>
          <w:shd w:val="clear" w:fill="FFFFFF"/>
          <w:lang w:val="en-US" w:eastAsia="zh-CN" w:bidi="ar"/>
          <w14:textFill>
            <w14:solidFill>
              <w14:schemeClr w14:val="tx1"/>
            </w14:solidFill>
          </w14:textFill>
        </w:rPr>
        <w:t>第四条 “双随机、一公开”工作应当坚持全覆盖、依法实施、规范透明、注重实效的原则，确保抽查工作依法有序开展。</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76" w:lineRule="exact"/>
        <w:ind w:firstLine="630"/>
        <w:textAlignment w:val="auto"/>
        <w:rPr>
          <w:rFonts w:hint="eastAsia" w:ascii="Times New Roman" w:hAnsi="Times New Roman" w:eastAsia="仿宋_GB2312" w:cs="Times New Roman"/>
          <w:color w:val="000000" w:themeColor="text1"/>
          <w:kern w:val="0"/>
          <w:sz w:val="32"/>
          <w:szCs w:val="32"/>
          <w:shd w:val="clear" w:fill="FFFFFF"/>
          <w:lang w:val="en-US" w:eastAsia="zh-CN" w:bidi="ar"/>
          <w14:textFill>
            <w14:solidFill>
              <w14:schemeClr w14:val="tx1"/>
            </w14:solidFill>
          </w14:textFill>
        </w:rPr>
      </w:pPr>
      <w:r>
        <w:rPr>
          <w:rFonts w:hint="eastAsia" w:ascii="Times New Roman" w:hAnsi="Times New Roman" w:eastAsia="仿宋_GB2312" w:cs="Times New Roman"/>
          <w:color w:val="000000" w:themeColor="text1"/>
          <w:kern w:val="0"/>
          <w:sz w:val="32"/>
          <w:szCs w:val="32"/>
          <w:shd w:val="clear" w:fill="FFFFFF"/>
          <w:lang w:val="en-US" w:eastAsia="zh-CN" w:bidi="ar"/>
          <w14:textFill>
            <w14:solidFill>
              <w14:schemeClr w14:val="tx1"/>
            </w14:solidFill>
          </w14:textFill>
        </w:rPr>
        <w:t>针对同一检查对象的多个检查事项（含专项检查），应当尽可能合并或者纳入单位内部或跨部门联合抽查范围。</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76" w:lineRule="exact"/>
        <w:ind w:firstLine="630"/>
        <w:textAlignment w:val="auto"/>
        <w:rPr>
          <w:rFonts w:hint="default" w:ascii="Times New Roman" w:hAnsi="Times New Roman" w:eastAsia="仿宋_GB2312" w:cs="Times New Roman"/>
          <w:color w:val="000000" w:themeColor="text1"/>
          <w:kern w:val="0"/>
          <w:sz w:val="32"/>
          <w:szCs w:val="32"/>
          <w:shd w:val="clear" w:fill="FFFFFF"/>
          <w:lang w:val="en-US" w:eastAsia="zh-CN" w:bidi="ar"/>
          <w14:textFill>
            <w14:solidFill>
              <w14:schemeClr w14:val="tx1"/>
            </w14:solidFill>
          </w14:textFill>
        </w:rPr>
      </w:pPr>
      <w:r>
        <w:rPr>
          <w:rFonts w:hint="eastAsia" w:ascii="Times New Roman" w:hAnsi="Times New Roman" w:eastAsia="仿宋_GB2312" w:cs="Times New Roman"/>
          <w:color w:val="000000" w:themeColor="text1"/>
          <w:kern w:val="0"/>
          <w:sz w:val="32"/>
          <w:szCs w:val="32"/>
          <w:shd w:val="clear" w:fill="FFFFFF"/>
          <w:lang w:val="en-US" w:eastAsia="zh-CN" w:bidi="ar"/>
          <w14:textFill>
            <w14:solidFill>
              <w14:schemeClr w14:val="tx1"/>
            </w14:solidFill>
          </w14:textFill>
        </w:rPr>
        <w:t>对关乎社会公众重大人身、财产安危的食品、药品、特种设备、产品质量安全等特殊行业、重点领域，依法依规实行以基层所为主导的全覆盖监管和以机关业务股室为主导的“双随机”抽查相结合的重点监管，并严格规范重点监管的程序；对通过投诉举报、转办交办、数据监测等发现的问题，应当有针对性地进行检查并依法依规处理。</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76" w:lineRule="exact"/>
        <w:ind w:firstLine="630"/>
        <w:textAlignment w:val="auto"/>
        <w:rPr>
          <w:rFonts w:hint="eastAsia" w:ascii="Times New Roman" w:hAnsi="Times New Roman" w:eastAsia="仿宋_GB2312" w:cs="Times New Roman"/>
          <w:color w:val="000000" w:themeColor="text1"/>
          <w:kern w:val="0"/>
          <w:sz w:val="32"/>
          <w:szCs w:val="32"/>
          <w:shd w:val="clear" w:fill="FFFFFF"/>
          <w:lang w:val="en-US" w:eastAsia="zh-CN" w:bidi="ar"/>
          <w14:textFill>
            <w14:solidFill>
              <w14:schemeClr w14:val="tx1"/>
            </w14:solidFill>
          </w14:textFill>
        </w:rPr>
      </w:pPr>
      <w:r>
        <w:rPr>
          <w:rFonts w:hint="eastAsia" w:ascii="Times New Roman" w:hAnsi="Times New Roman" w:eastAsia="仿宋_GB2312" w:cs="Times New Roman"/>
          <w:color w:val="000000" w:themeColor="text1"/>
          <w:kern w:val="0"/>
          <w:sz w:val="32"/>
          <w:szCs w:val="32"/>
          <w:shd w:val="clear" w:fill="FFFFFF"/>
          <w:lang w:val="en-US" w:eastAsia="zh-CN" w:bidi="ar"/>
          <w14:textFill>
            <w14:solidFill>
              <w14:schemeClr w14:val="tx1"/>
            </w14:solidFill>
          </w14:textFill>
        </w:rPr>
        <w:t>第五条 下列情形不适用双随机抽查：</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76" w:lineRule="exact"/>
        <w:ind w:firstLine="630"/>
        <w:textAlignment w:val="auto"/>
        <w:rPr>
          <w:rFonts w:hint="default" w:ascii="Times New Roman" w:hAnsi="Times New Roman" w:eastAsia="仿宋_GB2312" w:cs="Times New Roman"/>
          <w:color w:val="000000" w:themeColor="text1"/>
          <w:kern w:val="0"/>
          <w:sz w:val="32"/>
          <w:szCs w:val="32"/>
          <w:shd w:val="clear" w:fill="FFFFFF"/>
          <w:lang w:val="en-US" w:eastAsia="zh-CN" w:bidi="ar"/>
          <w14:textFill>
            <w14:solidFill>
              <w14:schemeClr w14:val="tx1"/>
            </w14:solidFill>
          </w14:textFill>
        </w:rPr>
      </w:pPr>
      <w:r>
        <w:rPr>
          <w:rFonts w:hint="eastAsia" w:ascii="Times New Roman" w:hAnsi="Times New Roman" w:eastAsia="仿宋_GB2312" w:cs="Times New Roman"/>
          <w:color w:val="000000" w:themeColor="text1"/>
          <w:kern w:val="0"/>
          <w:sz w:val="32"/>
          <w:szCs w:val="32"/>
          <w:shd w:val="clear" w:fill="FFFFFF"/>
          <w:lang w:val="en-US" w:eastAsia="zh-CN" w:bidi="ar"/>
          <w14:textFill>
            <w14:solidFill>
              <w14:schemeClr w14:val="tx1"/>
            </w14:solidFill>
          </w14:textFill>
        </w:rPr>
        <w:t>（一）法律法规规章对监督检查方式有明确规定；</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76" w:lineRule="exact"/>
        <w:ind w:firstLine="630"/>
        <w:textAlignment w:val="auto"/>
        <w:rPr>
          <w:rFonts w:hint="default" w:ascii="Times New Roman" w:hAnsi="Times New Roman" w:eastAsia="仿宋_GB2312" w:cs="Times New Roman"/>
          <w:color w:val="000000" w:themeColor="text1"/>
          <w:kern w:val="0"/>
          <w:sz w:val="32"/>
          <w:szCs w:val="32"/>
          <w:shd w:val="clear" w:fill="FFFFFF"/>
          <w:lang w:val="en-US" w:eastAsia="zh-CN" w:bidi="ar"/>
          <w14:textFill>
            <w14:solidFill>
              <w14:schemeClr w14:val="tx1"/>
            </w14:solidFill>
          </w14:textFill>
        </w:rPr>
      </w:pPr>
      <w:r>
        <w:rPr>
          <w:rFonts w:hint="eastAsia" w:ascii="Times New Roman" w:hAnsi="Times New Roman" w:eastAsia="仿宋_GB2312" w:cs="Times New Roman"/>
          <w:color w:val="000000" w:themeColor="text1"/>
          <w:kern w:val="0"/>
          <w:sz w:val="32"/>
          <w:szCs w:val="32"/>
          <w:shd w:val="clear" w:fill="FFFFFF"/>
          <w:lang w:val="en-US" w:eastAsia="zh-CN" w:bidi="ar"/>
          <w14:textFill>
            <w14:solidFill>
              <w14:schemeClr w14:val="tx1"/>
            </w14:solidFill>
          </w14:textFill>
        </w:rPr>
        <w:t>（二）上级机关对监督检查有专门要求；</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76" w:lineRule="exact"/>
        <w:ind w:firstLine="630"/>
        <w:textAlignment w:val="auto"/>
        <w:rPr>
          <w:rFonts w:hint="default" w:ascii="Times New Roman" w:hAnsi="Times New Roman" w:eastAsia="仿宋_GB2312" w:cs="Times New Roman"/>
          <w:color w:val="000000" w:themeColor="text1"/>
          <w:kern w:val="0"/>
          <w:sz w:val="32"/>
          <w:szCs w:val="32"/>
          <w:shd w:val="clear" w:fill="FFFFFF"/>
          <w:lang w:val="en-US" w:eastAsia="zh-CN" w:bidi="ar"/>
          <w14:textFill>
            <w14:solidFill>
              <w14:schemeClr w14:val="tx1"/>
            </w14:solidFill>
          </w14:textFill>
        </w:rPr>
      </w:pPr>
      <w:r>
        <w:rPr>
          <w:rFonts w:hint="eastAsia" w:ascii="Times New Roman" w:hAnsi="Times New Roman" w:eastAsia="仿宋_GB2312" w:cs="Times New Roman"/>
          <w:color w:val="000000" w:themeColor="text1"/>
          <w:kern w:val="0"/>
          <w:sz w:val="32"/>
          <w:szCs w:val="32"/>
          <w:shd w:val="clear" w:fill="FFFFFF"/>
          <w:lang w:val="en-US" w:eastAsia="zh-CN" w:bidi="ar"/>
          <w14:textFill>
            <w14:solidFill>
              <w14:schemeClr w14:val="tx1"/>
            </w14:solidFill>
          </w14:textFill>
        </w:rPr>
        <w:t>（三）被投诉举报涉嫌违法违规行为，依法应当进行监督检查；</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76" w:lineRule="exact"/>
        <w:ind w:firstLine="630"/>
        <w:textAlignment w:val="auto"/>
        <w:rPr>
          <w:rFonts w:hint="default" w:ascii="Times New Roman" w:hAnsi="Times New Roman" w:eastAsia="仿宋_GB2312" w:cs="Times New Roman"/>
          <w:color w:val="000000" w:themeColor="text1"/>
          <w:kern w:val="0"/>
          <w:sz w:val="32"/>
          <w:szCs w:val="32"/>
          <w:shd w:val="clear" w:fill="FFFFFF"/>
          <w:lang w:val="en-US" w:eastAsia="zh-CN" w:bidi="ar"/>
          <w14:textFill>
            <w14:solidFill>
              <w14:schemeClr w14:val="tx1"/>
            </w14:solidFill>
          </w14:textFill>
        </w:rPr>
      </w:pPr>
      <w:r>
        <w:rPr>
          <w:rFonts w:hint="eastAsia" w:ascii="Times New Roman" w:hAnsi="Times New Roman" w:eastAsia="仿宋_GB2312" w:cs="Times New Roman"/>
          <w:color w:val="000000" w:themeColor="text1"/>
          <w:kern w:val="0"/>
          <w:sz w:val="32"/>
          <w:szCs w:val="32"/>
          <w:shd w:val="clear" w:fill="FFFFFF"/>
          <w:lang w:val="en-US" w:eastAsia="zh-CN" w:bidi="ar"/>
          <w14:textFill>
            <w14:solidFill>
              <w14:schemeClr w14:val="tx1"/>
            </w14:solidFill>
          </w14:textFill>
        </w:rPr>
        <w:t>（四）市场监管突发性事件；</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76" w:lineRule="exact"/>
        <w:ind w:firstLine="630"/>
        <w:textAlignment w:val="auto"/>
        <w:rPr>
          <w:rFonts w:hint="default" w:ascii="Times New Roman" w:hAnsi="Times New Roman" w:eastAsia="仿宋_GB2312" w:cs="Times New Roman"/>
          <w:color w:val="000000" w:themeColor="text1"/>
          <w:kern w:val="0"/>
          <w:sz w:val="32"/>
          <w:szCs w:val="32"/>
          <w:shd w:val="clear" w:fill="FFFFFF"/>
          <w:lang w:val="en-US" w:eastAsia="zh-CN" w:bidi="ar"/>
          <w14:textFill>
            <w14:solidFill>
              <w14:schemeClr w14:val="tx1"/>
            </w14:solidFill>
          </w14:textFill>
        </w:rPr>
      </w:pPr>
      <w:r>
        <w:rPr>
          <w:rFonts w:hint="eastAsia" w:ascii="Times New Roman" w:hAnsi="Times New Roman" w:eastAsia="仿宋_GB2312" w:cs="Times New Roman"/>
          <w:color w:val="000000" w:themeColor="text1"/>
          <w:kern w:val="0"/>
          <w:sz w:val="32"/>
          <w:szCs w:val="32"/>
          <w:shd w:val="clear" w:fill="FFFFFF"/>
          <w:lang w:val="en-US" w:eastAsia="zh-CN" w:bidi="ar"/>
          <w14:textFill>
            <w14:solidFill>
              <w14:schemeClr w14:val="tx1"/>
            </w14:solidFill>
          </w14:textFill>
        </w:rPr>
        <w:t>（五）上级交办、督办案件，其他部门移交案件线索；</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76" w:lineRule="exact"/>
        <w:ind w:firstLine="630"/>
        <w:textAlignment w:val="auto"/>
        <w:rPr>
          <w:rFonts w:hint="default" w:ascii="Times New Roman" w:hAnsi="Times New Roman" w:eastAsia="仿宋_GB2312" w:cs="Times New Roman"/>
          <w:color w:val="000000" w:themeColor="text1"/>
          <w:kern w:val="0"/>
          <w:sz w:val="32"/>
          <w:szCs w:val="32"/>
          <w:shd w:val="clear" w:fill="FFFFFF"/>
          <w:lang w:val="en-US" w:eastAsia="zh-CN" w:bidi="ar"/>
          <w14:textFill>
            <w14:solidFill>
              <w14:schemeClr w14:val="tx1"/>
            </w14:solidFill>
          </w14:textFill>
        </w:rPr>
      </w:pPr>
      <w:r>
        <w:rPr>
          <w:rFonts w:hint="eastAsia" w:ascii="Times New Roman" w:hAnsi="Times New Roman" w:eastAsia="仿宋_GB2312" w:cs="Times New Roman"/>
          <w:color w:val="000000" w:themeColor="text1"/>
          <w:kern w:val="0"/>
          <w:sz w:val="32"/>
          <w:szCs w:val="32"/>
          <w:shd w:val="clear" w:fill="FFFFFF"/>
          <w:lang w:val="en-US" w:eastAsia="zh-CN" w:bidi="ar"/>
          <w14:textFill>
            <w14:solidFill>
              <w14:schemeClr w14:val="tx1"/>
            </w14:solidFill>
          </w14:textFill>
        </w:rPr>
        <w:t>（六）在履行职责过程中发现市场主体涉嫌违法违规行为。</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76" w:lineRule="exact"/>
        <w:ind w:firstLine="630"/>
        <w:textAlignment w:val="auto"/>
        <w:rPr>
          <w:rFonts w:hint="default" w:ascii="Times New Roman" w:hAnsi="Times New Roman" w:eastAsia="仿宋_GB2312" w:cs="Times New Roman"/>
          <w:color w:val="000000" w:themeColor="text1"/>
          <w:kern w:val="0"/>
          <w:sz w:val="32"/>
          <w:szCs w:val="32"/>
          <w:shd w:val="clear" w:fill="FFFFFF"/>
          <w:lang w:val="en-US" w:eastAsia="zh-CN" w:bidi="ar"/>
          <w14:textFill>
            <w14:solidFill>
              <w14:schemeClr w14:val="tx1"/>
            </w14:solidFill>
          </w14:textFill>
        </w:rPr>
      </w:pPr>
      <w:r>
        <w:rPr>
          <w:rFonts w:hint="eastAsia" w:ascii="Times New Roman" w:hAnsi="Times New Roman" w:eastAsia="仿宋_GB2312" w:cs="Times New Roman"/>
          <w:color w:val="000000" w:themeColor="text1"/>
          <w:kern w:val="0"/>
          <w:sz w:val="32"/>
          <w:szCs w:val="32"/>
          <w:shd w:val="clear" w:fill="FFFFFF"/>
          <w:lang w:val="en-US" w:eastAsia="zh-CN" w:bidi="ar"/>
          <w14:textFill>
            <w14:solidFill>
              <w14:schemeClr w14:val="tx1"/>
            </w14:solidFill>
          </w14:textFill>
        </w:rPr>
        <w:t>（七）其他不适用双随机抽查的情况。</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76" w:lineRule="exact"/>
        <w:jc w:val="center"/>
        <w:textAlignment w:val="auto"/>
        <w:rPr>
          <w:rFonts w:hint="eastAsia" w:ascii="黑体" w:hAnsi="黑体" w:eastAsia="黑体" w:cs="黑体"/>
          <w:b/>
          <w:color w:val="000000" w:themeColor="text1"/>
          <w:sz w:val="32"/>
          <w:szCs w:val="32"/>
          <w14:textFill>
            <w14:solidFill>
              <w14:schemeClr w14:val="tx1"/>
            </w14:solidFill>
          </w14:textFill>
        </w:rPr>
      </w:pPr>
      <w:r>
        <w:rPr>
          <w:rFonts w:hint="eastAsia" w:ascii="黑体" w:hAnsi="黑体" w:eastAsia="黑体" w:cs="黑体"/>
          <w:b/>
          <w:color w:val="000000" w:themeColor="text1"/>
          <w:sz w:val="32"/>
          <w:szCs w:val="32"/>
          <w14:textFill>
            <w14:solidFill>
              <w14:schemeClr w14:val="tx1"/>
            </w14:solidFill>
          </w14:textFill>
        </w:rPr>
        <w:t xml:space="preserve">第二章 </w:t>
      </w:r>
      <w:r>
        <w:rPr>
          <w:rFonts w:hint="eastAsia" w:ascii="黑体" w:hAnsi="黑体" w:eastAsia="黑体" w:cs="黑体"/>
          <w:b/>
          <w:color w:val="000000" w:themeColor="text1"/>
          <w:sz w:val="32"/>
          <w:szCs w:val="32"/>
          <w:lang w:val="en-US" w:eastAsia="zh-CN"/>
          <w14:textFill>
            <w14:solidFill>
              <w14:schemeClr w14:val="tx1"/>
            </w14:solidFill>
          </w14:textFill>
        </w:rPr>
        <w:t xml:space="preserve"> </w:t>
      </w:r>
      <w:r>
        <w:rPr>
          <w:rFonts w:hint="eastAsia" w:ascii="黑体" w:hAnsi="黑体" w:eastAsia="黑体" w:cs="黑体"/>
          <w:b/>
          <w:color w:val="000000" w:themeColor="text1"/>
          <w:sz w:val="32"/>
          <w:szCs w:val="32"/>
          <w14:textFill>
            <w14:solidFill>
              <w14:schemeClr w14:val="tx1"/>
            </w14:solidFill>
          </w14:textFill>
        </w:rPr>
        <w:t>抽查职责分工</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76" w:lineRule="exact"/>
        <w:ind w:firstLine="630"/>
        <w:textAlignment w:val="auto"/>
        <w:rPr>
          <w:rFonts w:hint="eastAsia" w:ascii="Times New Roman" w:hAnsi="Times New Roman" w:eastAsia="仿宋_GB2312" w:cs="Times New Roman"/>
          <w:color w:val="000000" w:themeColor="text1"/>
          <w:kern w:val="0"/>
          <w:sz w:val="32"/>
          <w:szCs w:val="32"/>
          <w:shd w:val="clear" w:fill="FFFFFF"/>
          <w:lang w:val="en-US" w:eastAsia="zh-CN" w:bidi="ar"/>
          <w14:textFill>
            <w14:solidFill>
              <w14:schemeClr w14:val="tx1"/>
            </w14:solidFill>
          </w14:textFill>
        </w:rPr>
      </w:pPr>
      <w:r>
        <w:rPr>
          <w:rFonts w:hint="eastAsia" w:ascii="Times New Roman" w:hAnsi="Times New Roman" w:eastAsia="仿宋_GB2312" w:cs="Times New Roman"/>
          <w:color w:val="000000" w:themeColor="text1"/>
          <w:kern w:val="0"/>
          <w:sz w:val="32"/>
          <w:szCs w:val="32"/>
          <w:shd w:val="clear" w:fill="FFFFFF"/>
          <w:lang w:val="en-US" w:eastAsia="zh-CN" w:bidi="ar"/>
          <w14:textFill>
            <w14:solidFill>
              <w14:schemeClr w14:val="tx1"/>
            </w14:solidFill>
          </w14:textFill>
        </w:rPr>
        <w:t>第六条 区局信用监管股负责牵头“双随机、一公开”监管日常工作，统筹协调双随机抽查工作的制度机制建设和年度抽查计划的制定，按照省、市下达的“双随机、一公开”抽查事项清单分别编制本部门的独立开展随机抽查事项清单、内部联合随机抽查事项清单和跨部门联合随机抽查事项清单，并报区政府和上一级市场监管部门备案。以上随机抽查事项清单均应在昭化区人民政府门户网站公示。</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76" w:lineRule="exact"/>
        <w:ind w:firstLine="630"/>
        <w:textAlignment w:val="auto"/>
        <w:rPr>
          <w:rFonts w:hint="eastAsia" w:ascii="Times New Roman" w:hAnsi="Times New Roman" w:eastAsia="仿宋_GB2312" w:cs="Times New Roman"/>
          <w:color w:val="000000" w:themeColor="text1"/>
          <w:kern w:val="0"/>
          <w:sz w:val="32"/>
          <w:szCs w:val="32"/>
          <w:shd w:val="clear" w:fill="FFFFFF"/>
          <w:lang w:val="en-US" w:eastAsia="zh-CN" w:bidi="ar"/>
          <w14:textFill>
            <w14:solidFill>
              <w14:schemeClr w14:val="tx1"/>
            </w14:solidFill>
          </w14:textFill>
        </w:rPr>
      </w:pPr>
      <w:r>
        <w:rPr>
          <w:rFonts w:hint="eastAsia" w:ascii="Times New Roman" w:hAnsi="Times New Roman" w:eastAsia="仿宋_GB2312" w:cs="Times New Roman"/>
          <w:color w:val="000000" w:themeColor="text1"/>
          <w:kern w:val="0"/>
          <w:sz w:val="32"/>
          <w:szCs w:val="32"/>
          <w:shd w:val="clear" w:fill="FFFFFF"/>
          <w:lang w:val="en-US" w:eastAsia="zh-CN" w:bidi="ar"/>
          <w14:textFill>
            <w14:solidFill>
              <w14:schemeClr w14:val="tx1"/>
            </w14:solidFill>
          </w14:textFill>
        </w:rPr>
        <w:t>第七条 各业务部门于上年12月15日前，根据省、市局抽查事项清单，并结合本地实际，合理安排抽查时间，确定次年独立开展、内部联合和跨部门联合随机抽查计划，并经分管局领导同意后报信用监管股汇总，区局年度独立开展、内部联合和跨部门联合随机抽查计划经局党组会研究通过，由主要领导签发，其中独立开展、内部联合随机抽查计划应在区局政策法规股备案，跨部门联合随机抽查计划报区政府批准后由联席会议办公室向区司法局申请备案。</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76" w:lineRule="exact"/>
        <w:ind w:firstLine="630"/>
        <w:textAlignment w:val="auto"/>
        <w:rPr>
          <w:rFonts w:hint="default" w:ascii="Times New Roman" w:hAnsi="Times New Roman" w:eastAsia="仿宋_GB2312" w:cs="Times New Roman"/>
          <w:color w:val="000000" w:themeColor="text1"/>
          <w:kern w:val="0"/>
          <w:sz w:val="32"/>
          <w:szCs w:val="32"/>
          <w:shd w:val="clear" w:fill="FFFFFF"/>
          <w:lang w:val="en-US" w:eastAsia="zh-CN" w:bidi="ar"/>
          <w14:textFill>
            <w14:solidFill>
              <w14:schemeClr w14:val="tx1"/>
            </w14:solidFill>
          </w14:textFill>
        </w:rPr>
      </w:pPr>
      <w:r>
        <w:rPr>
          <w:rFonts w:hint="eastAsia" w:ascii="Times New Roman" w:hAnsi="Times New Roman" w:eastAsia="仿宋_GB2312" w:cs="Times New Roman"/>
          <w:color w:val="000000" w:themeColor="text1"/>
          <w:kern w:val="0"/>
          <w:sz w:val="32"/>
          <w:szCs w:val="32"/>
          <w:shd w:val="clear" w:fill="FFFFFF"/>
          <w:lang w:val="en-US" w:eastAsia="zh-CN" w:bidi="ar"/>
          <w14:textFill>
            <w14:solidFill>
              <w14:schemeClr w14:val="tx1"/>
            </w14:solidFill>
          </w14:textFill>
        </w:rPr>
        <w:t>各业务部门按照“谁发起、谁牵头”的原则负责组织实施双随机抽查计划，并对本业务条线相关工作进行业务指导。</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76" w:lineRule="exact"/>
        <w:ind w:firstLine="630"/>
        <w:textAlignment w:val="auto"/>
        <w:rPr>
          <w:rFonts w:hint="default" w:ascii="Times New Roman" w:hAnsi="Times New Roman" w:eastAsia="仿宋_GB2312" w:cs="Times New Roman"/>
          <w:color w:val="000000" w:themeColor="text1"/>
          <w:kern w:val="0"/>
          <w:sz w:val="32"/>
          <w:szCs w:val="32"/>
          <w:shd w:val="clear" w:fill="FFFFFF"/>
          <w:lang w:val="en-US" w:eastAsia="zh-CN" w:bidi="ar"/>
          <w14:textFill>
            <w14:solidFill>
              <w14:schemeClr w14:val="tx1"/>
            </w14:solidFill>
          </w14:textFill>
        </w:rPr>
      </w:pPr>
      <w:r>
        <w:rPr>
          <w:rFonts w:hint="eastAsia" w:ascii="Times New Roman" w:hAnsi="Times New Roman" w:eastAsia="仿宋_GB2312" w:cs="Times New Roman"/>
          <w:color w:val="000000" w:themeColor="text1"/>
          <w:kern w:val="0"/>
          <w:sz w:val="32"/>
          <w:szCs w:val="32"/>
          <w:shd w:val="clear" w:fill="FFFFFF"/>
          <w:lang w:val="en-US" w:eastAsia="zh-CN" w:bidi="ar"/>
          <w14:textFill>
            <w14:solidFill>
              <w14:schemeClr w14:val="tx1"/>
            </w14:solidFill>
          </w14:textFill>
        </w:rPr>
        <w:t>第八条 政策法规股负责全局执法人员名录库的建设。执法人员执法资格发生变化时，应及时对执法人员库进行动态更新，并通知有关业务部门。</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76" w:lineRule="exact"/>
        <w:ind w:firstLine="630"/>
        <w:textAlignment w:val="auto"/>
        <w:rPr>
          <w:rFonts w:hint="default" w:ascii="Times New Roman" w:hAnsi="Times New Roman" w:eastAsia="仿宋_GB2312" w:cs="Times New Roman"/>
          <w:color w:val="000000" w:themeColor="text1"/>
          <w:kern w:val="0"/>
          <w:sz w:val="32"/>
          <w:szCs w:val="32"/>
          <w:shd w:val="clear" w:fill="FFFFFF"/>
          <w:lang w:val="en-US" w:eastAsia="zh-CN" w:bidi="ar"/>
          <w14:textFill>
            <w14:solidFill>
              <w14:schemeClr w14:val="tx1"/>
            </w14:solidFill>
          </w14:textFill>
        </w:rPr>
      </w:pPr>
      <w:r>
        <w:rPr>
          <w:rFonts w:hint="eastAsia" w:ascii="Times New Roman" w:hAnsi="Times New Roman" w:eastAsia="仿宋_GB2312" w:cs="Times New Roman"/>
          <w:color w:val="000000" w:themeColor="text1"/>
          <w:kern w:val="0"/>
          <w:sz w:val="32"/>
          <w:szCs w:val="32"/>
          <w:shd w:val="clear" w:fill="FFFFFF"/>
          <w:lang w:val="en-US" w:eastAsia="zh-CN" w:bidi="ar"/>
          <w14:textFill>
            <w14:solidFill>
              <w14:schemeClr w14:val="tx1"/>
            </w14:solidFill>
          </w14:textFill>
        </w:rPr>
        <w:t>第九条 各股室队根据工作需要依托四川省市场监管领域“双随机、一公开”监管平台建立检查对象名录库、执法人员名录库单项子库和第三方人员库（专家库），并负责所建名录库的动态管理，其中检查对象名录库动态调整每季度至少一次。</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76" w:lineRule="exact"/>
        <w:ind w:firstLine="630"/>
        <w:textAlignment w:val="auto"/>
        <w:rPr>
          <w:rFonts w:hint="default" w:ascii="Times New Roman" w:hAnsi="Times New Roman" w:eastAsia="仿宋_GB2312" w:cs="Times New Roman"/>
          <w:color w:val="000000" w:themeColor="text1"/>
          <w:kern w:val="0"/>
          <w:sz w:val="32"/>
          <w:szCs w:val="32"/>
          <w:shd w:val="clear" w:fill="FFFFFF"/>
          <w:lang w:val="en-US" w:eastAsia="zh-CN" w:bidi="ar"/>
          <w14:textFill>
            <w14:solidFill>
              <w14:schemeClr w14:val="tx1"/>
            </w14:solidFill>
          </w14:textFill>
        </w:rPr>
      </w:pPr>
      <w:r>
        <w:rPr>
          <w:rFonts w:hint="eastAsia" w:ascii="Times New Roman" w:hAnsi="Times New Roman" w:eastAsia="仿宋_GB2312" w:cs="Times New Roman"/>
          <w:color w:val="000000" w:themeColor="text1"/>
          <w:kern w:val="0"/>
          <w:sz w:val="32"/>
          <w:szCs w:val="32"/>
          <w:shd w:val="clear" w:fill="FFFFFF"/>
          <w:lang w:val="en-US" w:eastAsia="zh-CN" w:bidi="ar"/>
          <w14:textFill>
            <w14:solidFill>
              <w14:schemeClr w14:val="tx1"/>
            </w14:solidFill>
          </w14:textFill>
        </w:rPr>
        <w:t>第十条 区局办公室（信息中心）负责四川省市场监管领域“双随机、一公开”监管平台的技术保障。</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76" w:lineRule="exact"/>
        <w:ind w:firstLine="630"/>
        <w:textAlignment w:val="auto"/>
        <w:rPr>
          <w:rFonts w:hint="default" w:ascii="Times New Roman" w:hAnsi="Times New Roman" w:eastAsia="仿宋_GB2312" w:cs="Times New Roman"/>
          <w:color w:val="000000" w:themeColor="text1"/>
          <w:kern w:val="0"/>
          <w:sz w:val="32"/>
          <w:szCs w:val="32"/>
          <w:shd w:val="clear" w:fill="FFFFFF"/>
          <w:lang w:val="en-US" w:eastAsia="zh-CN" w:bidi="ar"/>
          <w14:textFill>
            <w14:solidFill>
              <w14:schemeClr w14:val="tx1"/>
            </w14:solidFill>
          </w14:textFill>
        </w:rPr>
      </w:pPr>
      <w:r>
        <w:rPr>
          <w:rFonts w:hint="eastAsia" w:ascii="Times New Roman" w:hAnsi="Times New Roman" w:eastAsia="仿宋_GB2312" w:cs="Times New Roman"/>
          <w:color w:val="000000" w:themeColor="text1"/>
          <w:kern w:val="0"/>
          <w:sz w:val="32"/>
          <w:szCs w:val="32"/>
          <w:shd w:val="clear" w:fill="FFFFFF"/>
          <w:lang w:val="en-US" w:eastAsia="zh-CN" w:bidi="ar"/>
          <w14:textFill>
            <w14:solidFill>
              <w14:schemeClr w14:val="tx1"/>
            </w14:solidFill>
          </w14:textFill>
        </w:rPr>
        <w:t>第十一条 局直属机关党委负责“双随机、一公开”监管工作效能及纪律督查工作。</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76" w:lineRule="exact"/>
        <w:jc w:val="center"/>
        <w:textAlignment w:val="auto"/>
        <w:rPr>
          <w:rFonts w:hint="eastAsia" w:ascii="黑体" w:hAnsi="黑体" w:eastAsia="黑体" w:cs="黑体"/>
          <w:b/>
          <w:color w:val="000000" w:themeColor="text1"/>
          <w:sz w:val="32"/>
          <w:szCs w:val="32"/>
          <w14:textFill>
            <w14:solidFill>
              <w14:schemeClr w14:val="tx1"/>
            </w14:solidFill>
          </w14:textFill>
        </w:rPr>
      </w:pPr>
      <w:r>
        <w:rPr>
          <w:rFonts w:hint="eastAsia" w:ascii="黑体" w:hAnsi="黑体" w:eastAsia="黑体" w:cs="黑体"/>
          <w:b/>
          <w:color w:val="000000" w:themeColor="text1"/>
          <w:sz w:val="32"/>
          <w:szCs w:val="32"/>
          <w14:textFill>
            <w14:solidFill>
              <w14:schemeClr w14:val="tx1"/>
            </w14:solidFill>
          </w14:textFill>
        </w:rPr>
        <w:t>第三章</w:t>
      </w:r>
      <w:r>
        <w:rPr>
          <w:rFonts w:hint="eastAsia" w:ascii="黑体" w:hAnsi="黑体" w:eastAsia="黑体" w:cs="黑体"/>
          <w:b/>
          <w:color w:val="000000" w:themeColor="text1"/>
          <w:sz w:val="32"/>
          <w:szCs w:val="32"/>
          <w:lang w:val="en-US" w:eastAsia="zh-CN"/>
          <w14:textFill>
            <w14:solidFill>
              <w14:schemeClr w14:val="tx1"/>
            </w14:solidFill>
          </w14:textFill>
        </w:rPr>
        <w:t xml:space="preserve">  </w:t>
      </w:r>
      <w:r>
        <w:rPr>
          <w:rFonts w:hint="eastAsia" w:ascii="黑体" w:hAnsi="黑体" w:eastAsia="黑体" w:cs="黑体"/>
          <w:b/>
          <w:color w:val="000000" w:themeColor="text1"/>
          <w:sz w:val="32"/>
          <w:szCs w:val="32"/>
          <w14:textFill>
            <w14:solidFill>
              <w14:schemeClr w14:val="tx1"/>
            </w14:solidFill>
          </w14:textFill>
        </w:rPr>
        <w:t>抽查检查程序</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76" w:lineRule="exact"/>
        <w:ind w:firstLine="630"/>
        <w:textAlignment w:val="auto"/>
        <w:rPr>
          <w:rFonts w:hint="eastAsia" w:ascii="Times New Roman" w:hAnsi="Times New Roman" w:eastAsia="仿宋_GB2312" w:cs="Times New Roman"/>
          <w:color w:val="000000" w:themeColor="text1"/>
          <w:kern w:val="0"/>
          <w:sz w:val="32"/>
          <w:szCs w:val="32"/>
          <w:shd w:val="clear" w:fill="FFFFFF"/>
          <w:lang w:val="en-US" w:eastAsia="zh-CN" w:bidi="ar"/>
          <w14:textFill>
            <w14:solidFill>
              <w14:schemeClr w14:val="tx1"/>
            </w14:solidFill>
          </w14:textFill>
        </w:rPr>
      </w:pPr>
      <w:r>
        <w:rPr>
          <w:rFonts w:hint="eastAsia" w:ascii="Times New Roman" w:hAnsi="Times New Roman" w:eastAsia="仿宋_GB2312" w:cs="Times New Roman"/>
          <w:color w:val="000000" w:themeColor="text1"/>
          <w:kern w:val="0"/>
          <w:sz w:val="32"/>
          <w:szCs w:val="32"/>
          <w:shd w:val="clear" w:fill="FFFFFF"/>
          <w:lang w:val="en-US" w:eastAsia="zh-CN" w:bidi="ar"/>
          <w14:textFill>
            <w14:solidFill>
              <w14:schemeClr w14:val="tx1"/>
            </w14:solidFill>
          </w14:textFill>
        </w:rPr>
        <w:t>第十二条 抽查方案的制订</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76" w:lineRule="exact"/>
        <w:ind w:firstLine="630"/>
        <w:textAlignment w:val="auto"/>
        <w:rPr>
          <w:rFonts w:hint="default" w:ascii="Times New Roman" w:hAnsi="Times New Roman" w:eastAsia="仿宋_GB2312" w:cs="Times New Roman"/>
          <w:color w:val="000000" w:themeColor="text1"/>
          <w:kern w:val="0"/>
          <w:sz w:val="32"/>
          <w:szCs w:val="32"/>
          <w:shd w:val="clear" w:fill="FFFFFF"/>
          <w:lang w:val="en-US" w:eastAsia="zh-CN" w:bidi="ar"/>
          <w14:textFill>
            <w14:solidFill>
              <w14:schemeClr w14:val="tx1"/>
            </w14:solidFill>
          </w14:textFill>
        </w:rPr>
      </w:pPr>
      <w:r>
        <w:rPr>
          <w:rFonts w:hint="eastAsia" w:ascii="Times New Roman" w:hAnsi="Times New Roman" w:eastAsia="仿宋_GB2312" w:cs="Times New Roman"/>
          <w:color w:val="000000" w:themeColor="text1"/>
          <w:kern w:val="0"/>
          <w:sz w:val="32"/>
          <w:szCs w:val="32"/>
          <w:shd w:val="clear" w:fill="FFFFFF"/>
          <w:lang w:val="en-US" w:eastAsia="zh-CN" w:bidi="ar"/>
          <w14:textFill>
            <w14:solidFill>
              <w14:schemeClr w14:val="tx1"/>
            </w14:solidFill>
          </w14:textFill>
        </w:rPr>
        <w:t>各业务部门应按照抽查计划制订抽查方案。抽查方案确定的检查对象数量应当不低于市局当年下达的最低指标要求。具体抽查比例、抽查周期或频次，由制订抽查方案的业务部门根据工作需要或者上级要求确定。</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76" w:lineRule="exact"/>
        <w:ind w:firstLine="630"/>
        <w:textAlignment w:val="auto"/>
        <w:rPr>
          <w:rFonts w:hint="eastAsia" w:ascii="Times New Roman" w:hAnsi="Times New Roman" w:eastAsia="仿宋_GB2312" w:cs="Times New Roman"/>
          <w:color w:val="000000" w:themeColor="text1"/>
          <w:kern w:val="0"/>
          <w:sz w:val="32"/>
          <w:szCs w:val="32"/>
          <w:shd w:val="clear" w:fill="FFFFFF"/>
          <w:lang w:val="en-US" w:eastAsia="zh-CN" w:bidi="ar"/>
          <w14:textFill>
            <w14:solidFill>
              <w14:schemeClr w14:val="tx1"/>
            </w14:solidFill>
          </w14:textFill>
        </w:rPr>
      </w:pPr>
      <w:r>
        <w:rPr>
          <w:rFonts w:hint="eastAsia" w:ascii="Times New Roman" w:hAnsi="Times New Roman" w:eastAsia="仿宋_GB2312" w:cs="Times New Roman"/>
          <w:color w:val="000000" w:themeColor="text1"/>
          <w:kern w:val="0"/>
          <w:sz w:val="32"/>
          <w:szCs w:val="32"/>
          <w:shd w:val="clear" w:fill="FFFFFF"/>
          <w:lang w:val="en-US" w:eastAsia="zh-CN" w:bidi="ar"/>
          <w14:textFill>
            <w14:solidFill>
              <w14:schemeClr w14:val="tx1"/>
            </w14:solidFill>
          </w14:textFill>
        </w:rPr>
        <w:t>对风险较高、投诉举报多、列入经营异常名录或者有严重违法失信记录，以及涉及人民群众生命财产安全和重点地区、重点领域、重点行业的市场主体，应当适当提高抽查的比例和频次。</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76" w:lineRule="exact"/>
        <w:ind w:firstLine="630"/>
        <w:textAlignment w:val="auto"/>
        <w:rPr>
          <w:rFonts w:hint="eastAsia" w:ascii="Times New Roman" w:hAnsi="Times New Roman" w:eastAsia="仿宋_GB2312" w:cs="Times New Roman"/>
          <w:color w:val="000000" w:themeColor="text1"/>
          <w:kern w:val="0"/>
          <w:sz w:val="32"/>
          <w:szCs w:val="32"/>
          <w:shd w:val="clear" w:fill="FFFFFF"/>
          <w:lang w:val="en-US" w:eastAsia="zh-CN" w:bidi="ar"/>
          <w14:textFill>
            <w14:solidFill>
              <w14:schemeClr w14:val="tx1"/>
            </w14:solidFill>
          </w14:textFill>
        </w:rPr>
      </w:pPr>
      <w:r>
        <w:rPr>
          <w:rFonts w:hint="eastAsia" w:ascii="Times New Roman" w:hAnsi="Times New Roman" w:eastAsia="仿宋_GB2312" w:cs="Times New Roman"/>
          <w:color w:val="000000" w:themeColor="text1"/>
          <w:kern w:val="0"/>
          <w:sz w:val="32"/>
          <w:szCs w:val="32"/>
          <w:shd w:val="clear" w:fill="FFFFFF"/>
          <w:lang w:val="en-US" w:eastAsia="zh-CN" w:bidi="ar"/>
          <w14:textFill>
            <w14:solidFill>
              <w14:schemeClr w14:val="tx1"/>
            </w14:solidFill>
          </w14:textFill>
        </w:rPr>
        <w:t>上级不定时下达的专项检查按照“事项融合，同步进行”的原则，与近期正在开展或者即将开展的随机抽查事项合并开展，适当增加相关业务股室专业检查人员参与。</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76" w:lineRule="exact"/>
        <w:ind w:firstLine="630"/>
        <w:textAlignment w:val="auto"/>
        <w:rPr>
          <w:rFonts w:hint="default" w:ascii="Times New Roman" w:hAnsi="Times New Roman" w:eastAsia="仿宋_GB2312" w:cs="Times New Roman"/>
          <w:color w:val="000000" w:themeColor="text1"/>
          <w:kern w:val="0"/>
          <w:sz w:val="32"/>
          <w:szCs w:val="32"/>
          <w:shd w:val="clear" w:fill="FFFFFF"/>
          <w:lang w:val="en-US" w:eastAsia="zh-CN" w:bidi="ar"/>
          <w14:textFill>
            <w14:solidFill>
              <w14:schemeClr w14:val="tx1"/>
            </w14:solidFill>
          </w14:textFill>
        </w:rPr>
      </w:pPr>
      <w:r>
        <w:rPr>
          <w:rFonts w:hint="eastAsia" w:ascii="Times New Roman" w:hAnsi="Times New Roman" w:eastAsia="仿宋_GB2312" w:cs="Times New Roman"/>
          <w:color w:val="000000" w:themeColor="text1"/>
          <w:kern w:val="0"/>
          <w:sz w:val="32"/>
          <w:szCs w:val="32"/>
          <w:shd w:val="clear" w:fill="FFFFFF"/>
          <w:lang w:val="en-US" w:eastAsia="zh-CN" w:bidi="ar"/>
          <w14:textFill>
            <w14:solidFill>
              <w14:schemeClr w14:val="tx1"/>
            </w14:solidFill>
          </w14:textFill>
        </w:rPr>
        <w:t>第十三条 检查对象和检查人员的抽取</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76" w:lineRule="exact"/>
        <w:ind w:firstLine="630"/>
        <w:textAlignment w:val="auto"/>
        <w:rPr>
          <w:rFonts w:hint="default" w:ascii="Times New Roman" w:hAnsi="Times New Roman" w:eastAsia="仿宋_GB2312" w:cs="Times New Roman"/>
          <w:color w:val="000000" w:themeColor="text1"/>
          <w:kern w:val="0"/>
          <w:sz w:val="32"/>
          <w:szCs w:val="32"/>
          <w:shd w:val="clear" w:fill="FFFFFF"/>
          <w:lang w:val="en-US" w:eastAsia="zh-CN" w:bidi="ar"/>
          <w14:textFill>
            <w14:solidFill>
              <w14:schemeClr w14:val="tx1"/>
            </w14:solidFill>
          </w14:textFill>
        </w:rPr>
      </w:pPr>
      <w:r>
        <w:rPr>
          <w:rFonts w:hint="eastAsia" w:ascii="Times New Roman" w:hAnsi="Times New Roman" w:eastAsia="仿宋_GB2312" w:cs="Times New Roman"/>
          <w:color w:val="000000" w:themeColor="text1"/>
          <w:kern w:val="0"/>
          <w:sz w:val="32"/>
          <w:szCs w:val="32"/>
          <w:shd w:val="clear" w:fill="FFFFFF"/>
          <w:lang w:val="en-US" w:eastAsia="zh-CN" w:bidi="ar"/>
          <w14:textFill>
            <w14:solidFill>
              <w14:schemeClr w14:val="tx1"/>
            </w14:solidFill>
          </w14:textFill>
        </w:rPr>
        <w:t>（一）检查对象和检查人员名单应当通过四川省市场监管领域“双随机、一公开”监管平台随机抽取产生。被随机确定的抽查监管人员与被检查的市场主体有利害关系的，应当按照回避原则予以调整。</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76" w:lineRule="exact"/>
        <w:ind w:firstLine="630"/>
        <w:textAlignment w:val="auto"/>
        <w:rPr>
          <w:rFonts w:hint="default" w:ascii="Times New Roman" w:hAnsi="Times New Roman" w:eastAsia="仿宋_GB2312" w:cs="Times New Roman"/>
          <w:color w:val="000000" w:themeColor="text1"/>
          <w:kern w:val="0"/>
          <w:sz w:val="32"/>
          <w:szCs w:val="32"/>
          <w:shd w:val="clear" w:fill="FFFFFF"/>
          <w:lang w:val="en-US" w:eastAsia="zh-CN" w:bidi="ar"/>
          <w14:textFill>
            <w14:solidFill>
              <w14:schemeClr w14:val="tx1"/>
            </w14:solidFill>
          </w14:textFill>
        </w:rPr>
      </w:pPr>
      <w:r>
        <w:rPr>
          <w:rFonts w:hint="eastAsia" w:ascii="Times New Roman" w:hAnsi="Times New Roman" w:eastAsia="仿宋_GB2312" w:cs="Times New Roman"/>
          <w:color w:val="000000" w:themeColor="text1"/>
          <w:kern w:val="0"/>
          <w:sz w:val="32"/>
          <w:szCs w:val="32"/>
          <w:shd w:val="clear" w:fill="FFFFFF"/>
          <w:lang w:val="en-US" w:eastAsia="zh-CN" w:bidi="ar"/>
          <w14:textFill>
            <w14:solidFill>
              <w14:schemeClr w14:val="tx1"/>
            </w14:solidFill>
          </w14:textFill>
        </w:rPr>
        <w:t>（二）在随机抽取名单过程中，应做到随机抽取过程全过程留痕，抽取过程可邀请纪检监察部门、公证部门、市场主体或社会第三方进行现场监督，确保随机摇号公平公正。</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76" w:lineRule="exact"/>
        <w:ind w:firstLine="630"/>
        <w:textAlignment w:val="auto"/>
        <w:rPr>
          <w:rFonts w:hint="default" w:ascii="Times New Roman" w:hAnsi="Times New Roman" w:eastAsia="仿宋_GB2312" w:cs="Times New Roman"/>
          <w:color w:val="000000" w:themeColor="text1"/>
          <w:kern w:val="0"/>
          <w:sz w:val="32"/>
          <w:szCs w:val="32"/>
          <w:shd w:val="clear" w:fill="FFFFFF"/>
          <w:lang w:val="en-US" w:eastAsia="zh-CN" w:bidi="ar"/>
          <w14:textFill>
            <w14:solidFill>
              <w14:schemeClr w14:val="tx1"/>
            </w14:solidFill>
          </w14:textFill>
        </w:rPr>
      </w:pPr>
      <w:r>
        <w:rPr>
          <w:rFonts w:hint="eastAsia" w:ascii="Times New Roman" w:hAnsi="Times New Roman" w:eastAsia="仿宋_GB2312" w:cs="Times New Roman"/>
          <w:color w:val="000000" w:themeColor="text1"/>
          <w:kern w:val="0"/>
          <w:sz w:val="32"/>
          <w:szCs w:val="32"/>
          <w:shd w:val="clear" w:fill="FFFFFF"/>
          <w:lang w:val="en-US" w:eastAsia="zh-CN" w:bidi="ar"/>
          <w14:textFill>
            <w14:solidFill>
              <w14:schemeClr w14:val="tx1"/>
            </w14:solidFill>
          </w14:textFill>
        </w:rPr>
        <w:t>第十四条 抽查检查的实施</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76" w:lineRule="exact"/>
        <w:ind w:firstLine="630"/>
        <w:textAlignment w:val="auto"/>
        <w:rPr>
          <w:rFonts w:hint="eastAsia" w:ascii="Times New Roman" w:hAnsi="Times New Roman" w:eastAsia="仿宋_GB2312" w:cs="Times New Roman"/>
          <w:color w:val="000000" w:themeColor="text1"/>
          <w:kern w:val="0"/>
          <w:sz w:val="32"/>
          <w:szCs w:val="32"/>
          <w:shd w:val="clear" w:fill="FFFFFF"/>
          <w:lang w:val="en-US" w:eastAsia="zh-CN" w:bidi="ar"/>
          <w14:textFill>
            <w14:solidFill>
              <w14:schemeClr w14:val="tx1"/>
            </w14:solidFill>
          </w14:textFill>
        </w:rPr>
      </w:pPr>
      <w:r>
        <w:rPr>
          <w:rFonts w:hint="eastAsia" w:ascii="Times New Roman" w:hAnsi="Times New Roman" w:eastAsia="仿宋_GB2312" w:cs="Times New Roman"/>
          <w:color w:val="000000" w:themeColor="text1"/>
          <w:kern w:val="0"/>
          <w:sz w:val="32"/>
          <w:szCs w:val="32"/>
          <w:shd w:val="clear" w:fill="FFFFFF"/>
          <w:lang w:val="en-US" w:eastAsia="zh-CN" w:bidi="ar"/>
          <w14:textFill>
            <w14:solidFill>
              <w14:schemeClr w14:val="tx1"/>
            </w14:solidFill>
          </w14:textFill>
        </w:rPr>
        <w:t>（一）检查对象和检查人员抽取完成后，应当在5个工作日内开展抽查检查。检查人员实施双随机检查活动，应当严格依据法律法规的规定进行。检查人员不得少于两人，并出示执法证件。联合“双随机”抽查项目牵头业务部门负责该项抽查活动的组织、协调、实施。</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76" w:lineRule="exact"/>
        <w:ind w:firstLine="630"/>
        <w:textAlignment w:val="auto"/>
        <w:rPr>
          <w:rFonts w:hint="default" w:ascii="Times New Roman" w:hAnsi="Times New Roman" w:eastAsia="仿宋_GB2312" w:cs="Times New Roman"/>
          <w:color w:val="000000" w:themeColor="text1"/>
          <w:kern w:val="0"/>
          <w:sz w:val="32"/>
          <w:szCs w:val="32"/>
          <w:shd w:val="clear" w:fill="FFFFFF"/>
          <w:lang w:val="en-US" w:eastAsia="zh-CN" w:bidi="ar"/>
          <w14:textFill>
            <w14:solidFill>
              <w14:schemeClr w14:val="tx1"/>
            </w14:solidFill>
          </w14:textFill>
        </w:rPr>
      </w:pPr>
      <w:r>
        <w:rPr>
          <w:rFonts w:hint="eastAsia" w:ascii="Times New Roman" w:hAnsi="Times New Roman" w:eastAsia="仿宋_GB2312" w:cs="Times New Roman"/>
          <w:color w:val="000000" w:themeColor="text1"/>
          <w:kern w:val="0"/>
          <w:sz w:val="32"/>
          <w:szCs w:val="32"/>
          <w:shd w:val="clear" w:fill="FFFFFF"/>
          <w:lang w:val="en-US" w:eastAsia="zh-CN" w:bidi="ar"/>
          <w14:textFill>
            <w14:solidFill>
              <w14:schemeClr w14:val="tx1"/>
            </w14:solidFill>
          </w14:textFill>
        </w:rPr>
        <w:t>（二）抽查可以采取实地核查、书面检查、网络监测等方式；涉及专业领域的，可以委托有资质的机构开展检验检测、财务审计、调查咨询等工作，或依法采用相关机构作出的鉴定结论，鼓励运用信息化手段提高问题发现能力，委托第三方开展检查的业务部门应加强对第三方的业务指导和监督。</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76" w:lineRule="exact"/>
        <w:ind w:firstLine="630"/>
        <w:textAlignment w:val="auto"/>
        <w:rPr>
          <w:rFonts w:hint="default" w:ascii="Times New Roman" w:hAnsi="Times New Roman" w:eastAsia="仿宋_GB2312" w:cs="Times New Roman"/>
          <w:color w:val="000000" w:themeColor="text1"/>
          <w:kern w:val="0"/>
          <w:sz w:val="32"/>
          <w:szCs w:val="32"/>
          <w:shd w:val="clear" w:fill="FFFFFF"/>
          <w:lang w:val="en-US" w:eastAsia="zh-CN" w:bidi="ar"/>
          <w14:textFill>
            <w14:solidFill>
              <w14:schemeClr w14:val="tx1"/>
            </w14:solidFill>
          </w14:textFill>
        </w:rPr>
      </w:pPr>
      <w:r>
        <w:rPr>
          <w:rFonts w:hint="eastAsia" w:ascii="Times New Roman" w:hAnsi="Times New Roman" w:eastAsia="仿宋_GB2312" w:cs="Times New Roman"/>
          <w:color w:val="000000" w:themeColor="text1"/>
          <w:kern w:val="0"/>
          <w:sz w:val="32"/>
          <w:szCs w:val="32"/>
          <w:shd w:val="clear" w:fill="FFFFFF"/>
          <w:lang w:val="en-US" w:eastAsia="zh-CN" w:bidi="ar"/>
          <w14:textFill>
            <w14:solidFill>
              <w14:schemeClr w14:val="tx1"/>
            </w14:solidFill>
          </w14:textFill>
        </w:rPr>
        <w:t>（三）执法人员应当在检查结束后，在检查表上填写检查结果，被抽查对象在检查表上盖章和签字确认。检查表及有关检查资料由实施检查的部门负责建档保存。</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76" w:lineRule="exact"/>
        <w:ind w:firstLine="630"/>
        <w:textAlignment w:val="auto"/>
        <w:rPr>
          <w:rFonts w:hint="eastAsia" w:ascii="Times New Roman" w:hAnsi="Times New Roman" w:eastAsia="仿宋_GB2312" w:cs="Times New Roman"/>
          <w:color w:val="000000" w:themeColor="text1"/>
          <w:kern w:val="0"/>
          <w:sz w:val="32"/>
          <w:szCs w:val="32"/>
          <w:shd w:val="clear" w:fill="FFFFFF"/>
          <w:lang w:val="en-US" w:eastAsia="zh-CN" w:bidi="ar"/>
          <w14:textFill>
            <w14:solidFill>
              <w14:schemeClr w14:val="tx1"/>
            </w14:solidFill>
          </w14:textFill>
        </w:rPr>
      </w:pPr>
      <w:r>
        <w:rPr>
          <w:rFonts w:hint="eastAsia" w:ascii="Times New Roman" w:hAnsi="Times New Roman" w:eastAsia="仿宋_GB2312" w:cs="Times New Roman"/>
          <w:color w:val="000000" w:themeColor="text1"/>
          <w:kern w:val="0"/>
          <w:sz w:val="32"/>
          <w:szCs w:val="32"/>
          <w:shd w:val="clear" w:fill="FFFFFF"/>
          <w:lang w:val="en-US" w:eastAsia="zh-CN" w:bidi="ar"/>
          <w14:textFill>
            <w14:solidFill>
              <w14:schemeClr w14:val="tx1"/>
            </w14:solidFill>
          </w14:textFill>
        </w:rPr>
        <w:t>（四）执法人员对被抽查对象实施抽查时，应当切实履行法定监管职责，抽查对象有违法行为的，检查人员应该立即现场责令改正或停止违法行为。</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76" w:lineRule="exact"/>
        <w:ind w:firstLine="630"/>
        <w:textAlignment w:val="auto"/>
        <w:rPr>
          <w:rFonts w:hint="default" w:ascii="Times New Roman" w:hAnsi="Times New Roman" w:eastAsia="仿宋_GB2312" w:cs="Times New Roman"/>
          <w:color w:val="000000" w:themeColor="text1"/>
          <w:kern w:val="0"/>
          <w:sz w:val="32"/>
          <w:szCs w:val="32"/>
          <w:shd w:val="clear" w:fill="FFFFFF"/>
          <w:lang w:val="en-US" w:eastAsia="zh-CN" w:bidi="ar"/>
          <w14:textFill>
            <w14:solidFill>
              <w14:schemeClr w14:val="tx1"/>
            </w14:solidFill>
          </w14:textFill>
        </w:rPr>
      </w:pPr>
      <w:r>
        <w:rPr>
          <w:rFonts w:hint="eastAsia" w:ascii="Times New Roman" w:hAnsi="Times New Roman" w:eastAsia="仿宋_GB2312" w:cs="Times New Roman"/>
          <w:color w:val="000000" w:themeColor="text1"/>
          <w:kern w:val="0"/>
          <w:sz w:val="32"/>
          <w:szCs w:val="32"/>
          <w:shd w:val="clear" w:fill="FFFFFF"/>
          <w:lang w:val="en-US" w:eastAsia="zh-CN" w:bidi="ar"/>
          <w14:textFill>
            <w14:solidFill>
              <w14:schemeClr w14:val="tx1"/>
            </w14:solidFill>
          </w14:textFill>
        </w:rPr>
        <w:t>第十五条 各业务部门应当按照“谁检查、谁录入”的原则，自抽查完成之日起20个工作日内将检查结果录入四川省市场监管领域“双随机、一公开”监管平台向社会公示。已实施检查但未进行公示的，视为未完成抽查检查。</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76" w:lineRule="exact"/>
        <w:ind w:firstLine="630"/>
        <w:textAlignment w:val="auto"/>
        <w:rPr>
          <w:rFonts w:hint="default" w:ascii="Times New Roman" w:hAnsi="Times New Roman" w:eastAsia="仿宋_GB2312" w:cs="Times New Roman"/>
          <w:color w:val="000000" w:themeColor="text1"/>
          <w:kern w:val="0"/>
          <w:sz w:val="32"/>
          <w:szCs w:val="32"/>
          <w:shd w:val="clear" w:fill="FFFFFF"/>
          <w:lang w:val="en-US" w:eastAsia="zh-CN" w:bidi="ar"/>
          <w14:textFill>
            <w14:solidFill>
              <w14:schemeClr w14:val="tx1"/>
            </w14:solidFill>
          </w14:textFill>
        </w:rPr>
      </w:pPr>
      <w:r>
        <w:rPr>
          <w:rFonts w:hint="eastAsia" w:ascii="Times New Roman" w:hAnsi="Times New Roman" w:eastAsia="仿宋_GB2312" w:cs="Times New Roman"/>
          <w:color w:val="000000" w:themeColor="text1"/>
          <w:kern w:val="0"/>
          <w:sz w:val="32"/>
          <w:szCs w:val="32"/>
          <w:shd w:val="clear" w:fill="FFFFFF"/>
          <w:lang w:val="en-US" w:eastAsia="zh-CN" w:bidi="ar"/>
          <w14:textFill>
            <w14:solidFill>
              <w14:schemeClr w14:val="tx1"/>
            </w14:solidFill>
          </w14:textFill>
        </w:rPr>
        <w:t>第十六条 实施抽查的业务部门，应当在检查结束后，将抽查检查过程中产生的材料、文书、证据等材料整理归档。</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76" w:lineRule="exact"/>
        <w:jc w:val="center"/>
        <w:textAlignment w:val="auto"/>
        <w:rPr>
          <w:rFonts w:hint="eastAsia" w:ascii="黑体" w:hAnsi="黑体" w:eastAsia="黑体" w:cs="黑体"/>
          <w:b/>
          <w:color w:val="000000" w:themeColor="text1"/>
          <w:sz w:val="32"/>
          <w:szCs w:val="32"/>
          <w14:textFill>
            <w14:solidFill>
              <w14:schemeClr w14:val="tx1"/>
            </w14:solidFill>
          </w14:textFill>
        </w:rPr>
      </w:pPr>
      <w:r>
        <w:rPr>
          <w:rFonts w:hint="eastAsia" w:ascii="黑体" w:hAnsi="黑体" w:eastAsia="黑体" w:cs="黑体"/>
          <w:b/>
          <w:color w:val="000000" w:themeColor="text1"/>
          <w:sz w:val="32"/>
          <w:szCs w:val="32"/>
          <w14:textFill>
            <w14:solidFill>
              <w14:schemeClr w14:val="tx1"/>
            </w14:solidFill>
          </w14:textFill>
        </w:rPr>
        <w:t>第四章</w:t>
      </w:r>
      <w:r>
        <w:rPr>
          <w:rFonts w:hint="eastAsia" w:ascii="黑体" w:hAnsi="黑体" w:eastAsia="黑体" w:cs="黑体"/>
          <w:b/>
          <w:color w:val="000000" w:themeColor="text1"/>
          <w:sz w:val="32"/>
          <w:szCs w:val="32"/>
          <w:lang w:val="en-US" w:eastAsia="zh-CN"/>
          <w14:textFill>
            <w14:solidFill>
              <w14:schemeClr w14:val="tx1"/>
            </w14:solidFill>
          </w14:textFill>
        </w:rPr>
        <w:t xml:space="preserve">  </w:t>
      </w:r>
      <w:r>
        <w:rPr>
          <w:rFonts w:hint="eastAsia" w:ascii="黑体" w:hAnsi="黑体" w:eastAsia="黑体" w:cs="黑体"/>
          <w:b/>
          <w:color w:val="000000" w:themeColor="text1"/>
          <w:sz w:val="32"/>
          <w:szCs w:val="32"/>
          <w14:textFill>
            <w14:solidFill>
              <w14:schemeClr w14:val="tx1"/>
            </w14:solidFill>
          </w14:textFill>
        </w:rPr>
        <w:t>抽查结果运用</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76" w:lineRule="exact"/>
        <w:ind w:firstLine="630"/>
        <w:textAlignment w:val="auto"/>
        <w:rPr>
          <w:rFonts w:hint="default" w:ascii="Times New Roman" w:hAnsi="Times New Roman" w:eastAsia="仿宋_GB2312" w:cs="Times New Roman"/>
          <w:color w:val="000000" w:themeColor="text1"/>
          <w:kern w:val="0"/>
          <w:sz w:val="32"/>
          <w:szCs w:val="32"/>
          <w:shd w:val="clear" w:fill="FFFFFF"/>
          <w:lang w:val="en-US" w:eastAsia="zh-CN" w:bidi="ar"/>
          <w14:textFill>
            <w14:solidFill>
              <w14:schemeClr w14:val="tx1"/>
            </w14:solidFill>
          </w14:textFill>
        </w:rPr>
      </w:pPr>
      <w:r>
        <w:rPr>
          <w:rFonts w:hint="eastAsia" w:ascii="Times New Roman" w:hAnsi="Times New Roman" w:eastAsia="仿宋_GB2312" w:cs="Times New Roman"/>
          <w:color w:val="000000" w:themeColor="text1"/>
          <w:kern w:val="0"/>
          <w:sz w:val="32"/>
          <w:szCs w:val="32"/>
          <w:shd w:val="clear" w:fill="FFFFFF"/>
          <w:lang w:val="en-US" w:eastAsia="zh-CN" w:bidi="ar"/>
          <w14:textFill>
            <w14:solidFill>
              <w14:schemeClr w14:val="tx1"/>
            </w14:solidFill>
          </w14:textFill>
        </w:rPr>
        <w:t>第十七条 按照“谁管辖、谁负责”的原则，对随机抽查中发现的问题，相关检查人员要及时将检查情况和检查结果告知牵头业务股室和辖区市场监管所实施后续监管，防止监管脱节。</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76" w:lineRule="exact"/>
        <w:ind w:firstLine="630"/>
        <w:textAlignment w:val="auto"/>
        <w:rPr>
          <w:rFonts w:hint="default" w:ascii="Times New Roman" w:hAnsi="Times New Roman" w:eastAsia="仿宋_GB2312" w:cs="Times New Roman"/>
          <w:color w:val="000000" w:themeColor="text1"/>
          <w:kern w:val="0"/>
          <w:sz w:val="32"/>
          <w:szCs w:val="32"/>
          <w:shd w:val="clear" w:fill="FFFFFF"/>
          <w:lang w:val="en-US" w:eastAsia="zh-CN" w:bidi="ar"/>
          <w14:textFill>
            <w14:solidFill>
              <w14:schemeClr w14:val="tx1"/>
            </w14:solidFill>
          </w14:textFill>
        </w:rPr>
      </w:pPr>
      <w:r>
        <w:rPr>
          <w:rFonts w:hint="eastAsia" w:ascii="Times New Roman" w:hAnsi="Times New Roman" w:eastAsia="仿宋_GB2312" w:cs="Times New Roman"/>
          <w:color w:val="000000" w:themeColor="text1"/>
          <w:kern w:val="0"/>
          <w:sz w:val="32"/>
          <w:szCs w:val="32"/>
          <w:shd w:val="clear" w:fill="FFFFFF"/>
          <w:lang w:val="en-US" w:eastAsia="zh-CN" w:bidi="ar"/>
          <w14:textFill>
            <w14:solidFill>
              <w14:schemeClr w14:val="tx1"/>
            </w14:solidFill>
          </w14:textFill>
        </w:rPr>
        <w:t>对应予以立案查处的，按照法律、法规规定的程序进行，及时移交办案部门。</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76" w:lineRule="exact"/>
        <w:ind w:firstLine="630"/>
        <w:textAlignment w:val="auto"/>
        <w:rPr>
          <w:rFonts w:hint="eastAsia" w:ascii="Times New Roman" w:hAnsi="Times New Roman" w:eastAsia="仿宋_GB2312" w:cs="Times New Roman"/>
          <w:color w:val="000000" w:themeColor="text1"/>
          <w:kern w:val="0"/>
          <w:sz w:val="32"/>
          <w:szCs w:val="32"/>
          <w:shd w:val="clear" w:fill="FFFFFF"/>
          <w:lang w:val="en-US" w:eastAsia="zh-CN" w:bidi="ar"/>
          <w14:textFill>
            <w14:solidFill>
              <w14:schemeClr w14:val="tx1"/>
            </w14:solidFill>
          </w14:textFill>
        </w:rPr>
      </w:pPr>
      <w:r>
        <w:rPr>
          <w:rFonts w:hint="eastAsia" w:ascii="Times New Roman" w:hAnsi="Times New Roman" w:eastAsia="仿宋_GB2312" w:cs="Times New Roman"/>
          <w:color w:val="000000" w:themeColor="text1"/>
          <w:kern w:val="0"/>
          <w:sz w:val="32"/>
          <w:szCs w:val="32"/>
          <w:shd w:val="clear" w:fill="FFFFFF"/>
          <w:lang w:val="en-US" w:eastAsia="zh-CN" w:bidi="ar"/>
          <w14:textFill>
            <w14:solidFill>
              <w14:schemeClr w14:val="tx1"/>
            </w14:solidFill>
          </w14:textFill>
        </w:rPr>
        <w:t>对属于其他行政机关管辖的，应当依法移送其他具有管辖权的机关处理。</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76" w:lineRule="exact"/>
        <w:ind w:firstLine="630"/>
        <w:textAlignment w:val="auto"/>
        <w:rPr>
          <w:rFonts w:hint="eastAsia" w:ascii="Times New Roman" w:hAnsi="Times New Roman" w:eastAsia="仿宋_GB2312" w:cs="Times New Roman"/>
          <w:color w:val="000000" w:themeColor="text1"/>
          <w:kern w:val="0"/>
          <w:sz w:val="32"/>
          <w:szCs w:val="32"/>
          <w:shd w:val="clear" w:fill="FFFFFF"/>
          <w:lang w:val="en-US" w:eastAsia="zh-CN" w:bidi="ar"/>
          <w14:textFill>
            <w14:solidFill>
              <w14:schemeClr w14:val="tx1"/>
            </w14:solidFill>
          </w14:textFill>
        </w:rPr>
      </w:pPr>
      <w:r>
        <w:rPr>
          <w:rFonts w:hint="eastAsia" w:ascii="Times New Roman" w:hAnsi="Times New Roman" w:eastAsia="仿宋_GB2312" w:cs="Times New Roman"/>
          <w:color w:val="000000" w:themeColor="text1"/>
          <w:kern w:val="0"/>
          <w:sz w:val="32"/>
          <w:szCs w:val="32"/>
          <w:shd w:val="clear" w:fill="FFFFFF"/>
          <w:lang w:val="en-US" w:eastAsia="zh-CN" w:bidi="ar"/>
          <w14:textFill>
            <w14:solidFill>
              <w14:schemeClr w14:val="tx1"/>
            </w14:solidFill>
          </w14:textFill>
        </w:rPr>
        <w:t>联合随机检查发现的问题和处理结果，要及时通报参加检查的其他部门。</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76" w:lineRule="exact"/>
        <w:ind w:firstLine="630"/>
        <w:textAlignment w:val="auto"/>
        <w:rPr>
          <w:rFonts w:hint="default" w:ascii="Times New Roman" w:hAnsi="Times New Roman" w:eastAsia="仿宋_GB2312" w:cs="Times New Roman"/>
          <w:color w:val="000000" w:themeColor="text1"/>
          <w:kern w:val="0"/>
          <w:sz w:val="32"/>
          <w:szCs w:val="32"/>
          <w:shd w:val="clear" w:fill="FFFFFF"/>
          <w:lang w:val="en-US" w:eastAsia="zh-CN" w:bidi="ar"/>
          <w14:textFill>
            <w14:solidFill>
              <w14:schemeClr w14:val="tx1"/>
            </w14:solidFill>
          </w14:textFill>
        </w:rPr>
      </w:pPr>
      <w:r>
        <w:rPr>
          <w:rFonts w:hint="eastAsia" w:ascii="Times New Roman" w:hAnsi="Times New Roman" w:eastAsia="仿宋_GB2312" w:cs="Times New Roman"/>
          <w:color w:val="000000" w:themeColor="text1"/>
          <w:kern w:val="0"/>
          <w:sz w:val="32"/>
          <w:szCs w:val="32"/>
          <w:shd w:val="clear" w:fill="FFFFFF"/>
          <w:lang w:val="en-US" w:eastAsia="zh-CN" w:bidi="ar"/>
          <w14:textFill>
            <w14:solidFill>
              <w14:schemeClr w14:val="tx1"/>
            </w14:solidFill>
          </w14:textFill>
        </w:rPr>
        <w:t>涉嫌犯罪的，依法移送司法机关。</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76" w:lineRule="exact"/>
        <w:ind w:firstLine="630"/>
        <w:textAlignment w:val="auto"/>
        <w:rPr>
          <w:rFonts w:hint="default" w:ascii="Times New Roman" w:hAnsi="Times New Roman" w:eastAsia="仿宋_GB2312" w:cs="Times New Roman"/>
          <w:color w:val="000000" w:themeColor="text1"/>
          <w:kern w:val="0"/>
          <w:sz w:val="32"/>
          <w:szCs w:val="32"/>
          <w:shd w:val="clear" w:fill="FFFFFF"/>
          <w:lang w:val="en-US" w:eastAsia="zh-CN" w:bidi="ar"/>
          <w14:textFill>
            <w14:solidFill>
              <w14:schemeClr w14:val="tx1"/>
            </w14:solidFill>
          </w14:textFill>
        </w:rPr>
      </w:pPr>
      <w:r>
        <w:rPr>
          <w:rFonts w:hint="eastAsia" w:ascii="Times New Roman" w:hAnsi="Times New Roman" w:eastAsia="仿宋_GB2312" w:cs="Times New Roman"/>
          <w:color w:val="000000" w:themeColor="text1"/>
          <w:kern w:val="0"/>
          <w:sz w:val="32"/>
          <w:szCs w:val="32"/>
          <w:shd w:val="clear" w:fill="FFFFFF"/>
          <w:lang w:val="en-US" w:eastAsia="zh-CN" w:bidi="ar"/>
          <w14:textFill>
            <w14:solidFill>
              <w14:schemeClr w14:val="tx1"/>
            </w14:solidFill>
          </w14:textFill>
        </w:rPr>
        <w:t>第十八条 建立健全跨部门联动响应机制。按照规定将随机抽查的结果纳入市场主体信用记录，对在抽查中发现违法行为被列入企业经营异常名录的、严重违法失信企业名单的市场主体，及时将信息推送至相关部门依法实施联合惩戒。</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76" w:lineRule="exact"/>
        <w:jc w:val="center"/>
        <w:textAlignment w:val="auto"/>
        <w:rPr>
          <w:rFonts w:hint="eastAsia" w:ascii="黑体" w:hAnsi="黑体" w:eastAsia="黑体" w:cs="黑体"/>
          <w:b/>
          <w:color w:val="000000" w:themeColor="text1"/>
          <w:sz w:val="32"/>
          <w:szCs w:val="32"/>
          <w14:textFill>
            <w14:solidFill>
              <w14:schemeClr w14:val="tx1"/>
            </w14:solidFill>
          </w14:textFill>
        </w:rPr>
      </w:pPr>
      <w:r>
        <w:rPr>
          <w:rFonts w:hint="eastAsia" w:ascii="黑体" w:hAnsi="黑体" w:eastAsia="黑体" w:cs="黑体"/>
          <w:b/>
          <w:color w:val="000000" w:themeColor="text1"/>
          <w:sz w:val="32"/>
          <w:szCs w:val="32"/>
          <w14:textFill>
            <w14:solidFill>
              <w14:schemeClr w14:val="tx1"/>
            </w14:solidFill>
          </w14:textFill>
        </w:rPr>
        <w:t>第五章</w:t>
      </w:r>
      <w:r>
        <w:rPr>
          <w:rFonts w:hint="eastAsia" w:ascii="黑体" w:hAnsi="黑体" w:eastAsia="黑体" w:cs="黑体"/>
          <w:b/>
          <w:color w:val="000000" w:themeColor="text1"/>
          <w:sz w:val="32"/>
          <w:szCs w:val="32"/>
          <w:lang w:val="en-US" w:eastAsia="zh-CN"/>
          <w14:textFill>
            <w14:solidFill>
              <w14:schemeClr w14:val="tx1"/>
            </w14:solidFill>
          </w14:textFill>
        </w:rPr>
        <w:t xml:space="preserve">  </w:t>
      </w:r>
      <w:r>
        <w:rPr>
          <w:rFonts w:hint="eastAsia" w:ascii="黑体" w:hAnsi="黑体" w:eastAsia="黑体" w:cs="黑体"/>
          <w:b/>
          <w:color w:val="000000" w:themeColor="text1"/>
          <w:sz w:val="32"/>
          <w:szCs w:val="32"/>
          <w14:textFill>
            <w14:solidFill>
              <w14:schemeClr w14:val="tx1"/>
            </w14:solidFill>
          </w14:textFill>
        </w:rPr>
        <w:t>责任追究</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76" w:lineRule="exact"/>
        <w:ind w:firstLine="630"/>
        <w:textAlignment w:val="auto"/>
        <w:rPr>
          <w:rFonts w:hint="default" w:ascii="Times New Roman" w:hAnsi="Times New Roman" w:eastAsia="仿宋_GB2312" w:cs="Times New Roman"/>
          <w:color w:val="000000" w:themeColor="text1"/>
          <w:kern w:val="0"/>
          <w:sz w:val="32"/>
          <w:szCs w:val="32"/>
          <w:shd w:val="clear" w:fill="FFFFFF"/>
          <w:lang w:val="en-US" w:eastAsia="zh-CN" w:bidi="ar"/>
          <w14:textFill>
            <w14:solidFill>
              <w14:schemeClr w14:val="tx1"/>
            </w14:solidFill>
          </w14:textFill>
        </w:rPr>
      </w:pPr>
      <w:r>
        <w:rPr>
          <w:rFonts w:hint="eastAsia" w:ascii="Times New Roman" w:hAnsi="Times New Roman" w:eastAsia="仿宋_GB2312" w:cs="Times New Roman"/>
          <w:color w:val="000000" w:themeColor="text1"/>
          <w:kern w:val="0"/>
          <w:sz w:val="32"/>
          <w:szCs w:val="32"/>
          <w:shd w:val="clear" w:fill="FFFFFF"/>
          <w:lang w:val="en-US" w:eastAsia="zh-CN" w:bidi="ar"/>
          <w14:textFill>
            <w14:solidFill>
              <w14:schemeClr w14:val="tx1"/>
            </w14:solidFill>
          </w14:textFill>
        </w:rPr>
        <w:t>第十九条 执法检查人员在“双随机、一公开”监管中有下列情形之一的，应该当承担行政责任：</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76" w:lineRule="exact"/>
        <w:ind w:firstLine="630"/>
        <w:textAlignment w:val="auto"/>
        <w:rPr>
          <w:rFonts w:hint="eastAsia" w:ascii="Times New Roman" w:hAnsi="Times New Roman" w:eastAsia="仿宋_GB2312" w:cs="Times New Roman"/>
          <w:color w:val="000000" w:themeColor="text1"/>
          <w:kern w:val="0"/>
          <w:sz w:val="32"/>
          <w:szCs w:val="32"/>
          <w:shd w:val="clear" w:fill="FFFFFF"/>
          <w:lang w:val="en-US" w:eastAsia="zh-CN" w:bidi="ar"/>
          <w14:textFill>
            <w14:solidFill>
              <w14:schemeClr w14:val="tx1"/>
            </w14:solidFill>
          </w14:textFill>
        </w:rPr>
      </w:pPr>
      <w:r>
        <w:rPr>
          <w:rFonts w:hint="eastAsia" w:ascii="Times New Roman" w:hAnsi="Times New Roman" w:eastAsia="仿宋_GB2312" w:cs="Times New Roman"/>
          <w:color w:val="000000" w:themeColor="text1"/>
          <w:kern w:val="0"/>
          <w:sz w:val="32"/>
          <w:szCs w:val="32"/>
          <w:shd w:val="clear" w:fill="FFFFFF"/>
          <w:lang w:val="en-US" w:eastAsia="zh-CN" w:bidi="ar"/>
          <w14:textFill>
            <w14:solidFill>
              <w14:schemeClr w14:val="tx1"/>
            </w14:solidFill>
          </w14:textFill>
        </w:rPr>
        <w:t>（一）未按要求进行抽查检查，造成不良后果的；</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76" w:lineRule="exact"/>
        <w:ind w:firstLine="630"/>
        <w:textAlignment w:val="auto"/>
        <w:rPr>
          <w:rFonts w:hint="eastAsia" w:ascii="Times New Roman" w:hAnsi="Times New Roman" w:eastAsia="仿宋_GB2312" w:cs="Times New Roman"/>
          <w:color w:val="000000" w:themeColor="text1"/>
          <w:kern w:val="0"/>
          <w:sz w:val="32"/>
          <w:szCs w:val="32"/>
          <w:shd w:val="clear" w:fill="FFFFFF"/>
          <w:lang w:val="en-US" w:eastAsia="zh-CN" w:bidi="ar"/>
          <w14:textFill>
            <w14:solidFill>
              <w14:schemeClr w14:val="tx1"/>
            </w14:solidFill>
          </w14:textFill>
        </w:rPr>
      </w:pPr>
      <w:r>
        <w:rPr>
          <w:rFonts w:hint="eastAsia" w:ascii="Times New Roman" w:hAnsi="Times New Roman" w:eastAsia="仿宋_GB2312" w:cs="Times New Roman"/>
          <w:color w:val="000000" w:themeColor="text1"/>
          <w:kern w:val="0"/>
          <w:sz w:val="32"/>
          <w:szCs w:val="32"/>
          <w:shd w:val="clear" w:fill="FFFFFF"/>
          <w:lang w:val="en-US" w:eastAsia="zh-CN" w:bidi="ar"/>
          <w14:textFill>
            <w14:solidFill>
              <w14:schemeClr w14:val="tx1"/>
            </w14:solidFill>
          </w14:textFill>
        </w:rPr>
        <w:t>（二）实施抽查检查中存在违法行为，情节严重的；</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76" w:lineRule="exact"/>
        <w:ind w:firstLine="630"/>
        <w:textAlignment w:val="auto"/>
        <w:rPr>
          <w:rFonts w:hint="eastAsia" w:ascii="Times New Roman" w:hAnsi="Times New Roman" w:eastAsia="仿宋_GB2312" w:cs="Times New Roman"/>
          <w:color w:val="000000" w:themeColor="text1"/>
          <w:kern w:val="0"/>
          <w:sz w:val="32"/>
          <w:szCs w:val="32"/>
          <w:shd w:val="clear" w:fill="FFFFFF"/>
          <w:lang w:val="en-US" w:eastAsia="zh-CN" w:bidi="ar"/>
          <w14:textFill>
            <w14:solidFill>
              <w14:schemeClr w14:val="tx1"/>
            </w14:solidFill>
          </w14:textFill>
        </w:rPr>
      </w:pPr>
      <w:r>
        <w:rPr>
          <w:rFonts w:hint="eastAsia" w:ascii="Times New Roman" w:hAnsi="Times New Roman" w:eastAsia="仿宋_GB2312" w:cs="Times New Roman"/>
          <w:color w:val="000000" w:themeColor="text1"/>
          <w:kern w:val="0"/>
          <w:sz w:val="32"/>
          <w:szCs w:val="32"/>
          <w:shd w:val="clear" w:fill="FFFFFF"/>
          <w:lang w:val="en-US" w:eastAsia="zh-CN" w:bidi="ar"/>
          <w14:textFill>
            <w14:solidFill>
              <w14:schemeClr w14:val="tx1"/>
            </w14:solidFill>
          </w14:textFill>
        </w:rPr>
        <w:t>（三）未依法及时公示抽查检查结果，造成不良后果；</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76" w:lineRule="exact"/>
        <w:ind w:firstLine="630"/>
        <w:textAlignment w:val="auto"/>
        <w:rPr>
          <w:rFonts w:hint="eastAsia" w:ascii="Times New Roman" w:hAnsi="Times New Roman" w:eastAsia="仿宋_GB2312" w:cs="Times New Roman"/>
          <w:color w:val="000000" w:themeColor="text1"/>
          <w:kern w:val="0"/>
          <w:sz w:val="32"/>
          <w:szCs w:val="32"/>
          <w:shd w:val="clear" w:fill="FFFFFF"/>
          <w:lang w:val="en-US" w:eastAsia="zh-CN" w:bidi="ar"/>
          <w14:textFill>
            <w14:solidFill>
              <w14:schemeClr w14:val="tx1"/>
            </w14:solidFill>
          </w14:textFill>
        </w:rPr>
      </w:pPr>
      <w:r>
        <w:rPr>
          <w:rFonts w:hint="eastAsia" w:ascii="Times New Roman" w:hAnsi="Times New Roman" w:eastAsia="仿宋_GB2312" w:cs="Times New Roman"/>
          <w:color w:val="000000" w:themeColor="text1"/>
          <w:kern w:val="0"/>
          <w:sz w:val="32"/>
          <w:szCs w:val="32"/>
          <w:shd w:val="clear" w:fill="FFFFFF"/>
          <w:lang w:val="en-US" w:eastAsia="zh-CN" w:bidi="ar"/>
          <w14:textFill>
            <w14:solidFill>
              <w14:schemeClr w14:val="tx1"/>
            </w14:solidFill>
          </w14:textFill>
        </w:rPr>
        <w:t>（四）对抽查检查中发现的涉嫌犯罪案件，未依法移送司法机关处理的；</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76" w:lineRule="exact"/>
        <w:ind w:firstLine="630"/>
        <w:textAlignment w:val="auto"/>
        <w:rPr>
          <w:rFonts w:hint="eastAsia" w:ascii="Times New Roman" w:hAnsi="Times New Roman" w:eastAsia="仿宋_GB2312" w:cs="Times New Roman"/>
          <w:color w:val="000000" w:themeColor="text1"/>
          <w:kern w:val="0"/>
          <w:sz w:val="32"/>
          <w:szCs w:val="32"/>
          <w:shd w:val="clear" w:fill="FFFFFF"/>
          <w:lang w:val="en-US" w:eastAsia="zh-CN" w:bidi="ar"/>
          <w14:textFill>
            <w14:solidFill>
              <w14:schemeClr w14:val="tx1"/>
            </w14:solidFill>
          </w14:textFill>
        </w:rPr>
      </w:pPr>
      <w:r>
        <w:rPr>
          <w:rFonts w:hint="eastAsia" w:ascii="Times New Roman" w:hAnsi="Times New Roman" w:eastAsia="仿宋_GB2312" w:cs="Times New Roman"/>
          <w:color w:val="000000" w:themeColor="text1"/>
          <w:kern w:val="0"/>
          <w:sz w:val="32"/>
          <w:szCs w:val="32"/>
          <w:shd w:val="clear" w:fill="FFFFFF"/>
          <w:lang w:val="en-US" w:eastAsia="zh-CN" w:bidi="ar"/>
          <w14:textFill>
            <w14:solidFill>
              <w14:schemeClr w14:val="tx1"/>
            </w14:solidFill>
          </w14:textFill>
        </w:rPr>
        <w:t>（五）不执行或拖延执行抽查任务的；</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76" w:lineRule="exact"/>
        <w:ind w:firstLine="630"/>
        <w:textAlignment w:val="auto"/>
        <w:rPr>
          <w:rFonts w:hint="default" w:ascii="Times New Roman" w:hAnsi="Times New Roman" w:eastAsia="仿宋_GB2312" w:cs="Times New Roman"/>
          <w:color w:val="000000" w:themeColor="text1"/>
          <w:kern w:val="0"/>
          <w:sz w:val="32"/>
          <w:szCs w:val="32"/>
          <w:shd w:val="clear" w:fill="FFFFFF"/>
          <w:lang w:val="en-US" w:eastAsia="zh-CN" w:bidi="ar"/>
          <w14:textFill>
            <w14:solidFill>
              <w14:schemeClr w14:val="tx1"/>
            </w14:solidFill>
          </w14:textFill>
        </w:rPr>
      </w:pPr>
      <w:r>
        <w:rPr>
          <w:rFonts w:hint="eastAsia" w:ascii="Times New Roman" w:hAnsi="Times New Roman" w:eastAsia="仿宋_GB2312" w:cs="Times New Roman"/>
          <w:color w:val="000000" w:themeColor="text1"/>
          <w:kern w:val="0"/>
          <w:sz w:val="32"/>
          <w:szCs w:val="32"/>
          <w:shd w:val="clear" w:fill="FFFFFF"/>
          <w:lang w:val="en-US" w:eastAsia="zh-CN" w:bidi="ar"/>
          <w14:textFill>
            <w14:solidFill>
              <w14:schemeClr w14:val="tx1"/>
            </w14:solidFill>
          </w14:textFill>
        </w:rPr>
        <w:t>（六）其他依法依规应该追究责任的情形。</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76" w:lineRule="exact"/>
        <w:ind w:firstLine="630"/>
        <w:textAlignment w:val="auto"/>
        <w:rPr>
          <w:rFonts w:hint="eastAsia" w:ascii="Times New Roman" w:hAnsi="Times New Roman" w:eastAsia="仿宋_GB2312" w:cs="Times New Roman"/>
          <w:color w:val="000000" w:themeColor="text1"/>
          <w:kern w:val="0"/>
          <w:sz w:val="32"/>
          <w:szCs w:val="32"/>
          <w:shd w:val="clear" w:fill="FFFFFF"/>
          <w:lang w:val="en-US" w:eastAsia="zh-CN" w:bidi="ar"/>
          <w14:textFill>
            <w14:solidFill>
              <w14:schemeClr w14:val="tx1"/>
            </w14:solidFill>
          </w14:textFill>
        </w:rPr>
      </w:pPr>
      <w:r>
        <w:rPr>
          <w:rFonts w:hint="eastAsia" w:ascii="Times New Roman" w:hAnsi="Times New Roman" w:eastAsia="仿宋_GB2312" w:cs="Times New Roman"/>
          <w:color w:val="000000" w:themeColor="text1"/>
          <w:kern w:val="0"/>
          <w:sz w:val="32"/>
          <w:szCs w:val="32"/>
          <w:shd w:val="clear" w:fill="FFFFFF"/>
          <w:lang w:val="en-US" w:eastAsia="zh-CN" w:bidi="ar"/>
          <w14:textFill>
            <w14:solidFill>
              <w14:schemeClr w14:val="tx1"/>
            </w14:solidFill>
          </w14:textFill>
        </w:rPr>
        <w:t>第二十条  执法检查人员在“双随机、一公开”监管中不得妨碍被检查对象正常的生产经营活动，不得索取或者收受被检查市场主体的财物，不得谋取其他利益，不得收取或变相收取费用。如存在滥用职权、玩忽职守、徇私舞弊等行为的，依法依纪追究责任。</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76" w:lineRule="exact"/>
        <w:ind w:firstLine="630"/>
        <w:textAlignment w:val="auto"/>
        <w:rPr>
          <w:rFonts w:hint="eastAsia" w:ascii="Times New Roman" w:hAnsi="Times New Roman" w:eastAsia="仿宋_GB2312" w:cs="Times New Roman"/>
          <w:color w:val="000000" w:themeColor="text1"/>
          <w:kern w:val="0"/>
          <w:sz w:val="32"/>
          <w:szCs w:val="32"/>
          <w:shd w:val="clear" w:fill="FFFFFF"/>
          <w:lang w:val="en-US" w:eastAsia="zh-CN" w:bidi="ar"/>
          <w14:textFill>
            <w14:solidFill>
              <w14:schemeClr w14:val="tx1"/>
            </w14:solidFill>
          </w14:textFill>
        </w:rPr>
      </w:pPr>
      <w:r>
        <w:rPr>
          <w:rFonts w:hint="eastAsia" w:ascii="Times New Roman" w:hAnsi="Times New Roman" w:eastAsia="仿宋_GB2312" w:cs="Times New Roman"/>
          <w:color w:val="000000" w:themeColor="text1"/>
          <w:kern w:val="0"/>
          <w:sz w:val="32"/>
          <w:szCs w:val="32"/>
          <w:shd w:val="clear" w:fill="FFFFFF"/>
          <w:lang w:val="en-US" w:eastAsia="zh-CN" w:bidi="ar"/>
          <w14:textFill>
            <w14:solidFill>
              <w14:schemeClr w14:val="tx1"/>
            </w14:solidFill>
          </w14:textFill>
        </w:rPr>
        <w:t xml:space="preserve">第二十一条  </w:t>
      </w:r>
      <w:r>
        <w:rPr>
          <w:rFonts w:hint="default" w:ascii="Times New Roman" w:hAnsi="Times New Roman" w:eastAsia="仿宋_GB2312" w:cs="Times New Roman"/>
          <w:color w:val="000000" w:themeColor="text1"/>
          <w:kern w:val="0"/>
          <w:sz w:val="32"/>
          <w:szCs w:val="32"/>
          <w:shd w:val="clear" w:fill="FFFFFF"/>
          <w:lang w:val="en-US" w:eastAsia="zh-CN" w:bidi="ar"/>
          <w14:textFill>
            <w14:solidFill>
              <w14:schemeClr w14:val="tx1"/>
            </w14:solidFill>
          </w14:textFill>
        </w:rPr>
        <w:t>加</w:t>
      </w:r>
      <w:r>
        <w:rPr>
          <w:rFonts w:hint="eastAsia" w:ascii="Times New Roman" w:hAnsi="Times New Roman" w:eastAsia="仿宋_GB2312" w:cs="Times New Roman"/>
          <w:color w:val="000000" w:themeColor="text1"/>
          <w:kern w:val="0"/>
          <w:sz w:val="32"/>
          <w:szCs w:val="32"/>
          <w:shd w:val="clear" w:fill="FFFFFF"/>
          <w:lang w:val="en-US" w:eastAsia="zh-CN" w:bidi="ar"/>
          <w14:textFill>
            <w14:solidFill>
              <w14:schemeClr w14:val="tx1"/>
            </w14:solidFill>
          </w14:textFill>
        </w:rPr>
        <w:t>强</w:t>
      </w:r>
      <w:r>
        <w:rPr>
          <w:rFonts w:hint="default" w:ascii="Times New Roman" w:hAnsi="Times New Roman" w:eastAsia="仿宋_GB2312" w:cs="Times New Roman"/>
          <w:color w:val="000000" w:themeColor="text1"/>
          <w:kern w:val="0"/>
          <w:sz w:val="32"/>
          <w:szCs w:val="32"/>
          <w:shd w:val="clear" w:fill="FFFFFF"/>
          <w:lang w:val="en-US" w:eastAsia="zh-CN" w:bidi="ar"/>
          <w14:textFill>
            <w14:solidFill>
              <w14:schemeClr w14:val="tx1"/>
            </w14:solidFill>
          </w14:textFill>
        </w:rPr>
        <w:t>对“双随机</w:t>
      </w:r>
      <w:r>
        <w:rPr>
          <w:rFonts w:hint="eastAsia" w:ascii="Times New Roman" w:hAnsi="Times New Roman" w:eastAsia="仿宋_GB2312" w:cs="Times New Roman"/>
          <w:color w:val="000000" w:themeColor="text1"/>
          <w:kern w:val="0"/>
          <w:sz w:val="32"/>
          <w:szCs w:val="32"/>
          <w:shd w:val="clear" w:fill="FFFFFF"/>
          <w:lang w:val="en-US" w:eastAsia="zh-CN" w:bidi="ar"/>
          <w14:textFill>
            <w14:solidFill>
              <w14:schemeClr w14:val="tx1"/>
            </w14:solidFill>
          </w14:textFill>
        </w:rPr>
        <w:t>、</w:t>
      </w:r>
      <w:r>
        <w:rPr>
          <w:rFonts w:hint="default" w:ascii="Times New Roman" w:hAnsi="Times New Roman" w:eastAsia="仿宋_GB2312" w:cs="Times New Roman"/>
          <w:color w:val="000000" w:themeColor="text1"/>
          <w:kern w:val="0"/>
          <w:sz w:val="32"/>
          <w:szCs w:val="32"/>
          <w:shd w:val="clear" w:fill="FFFFFF"/>
          <w:lang w:val="en-US" w:eastAsia="zh-CN" w:bidi="ar"/>
          <w14:textFill>
            <w14:solidFill>
              <w14:schemeClr w14:val="tx1"/>
            </w14:solidFill>
          </w14:textFill>
        </w:rPr>
        <w:t>一公开”监管工作的督察督办，</w:t>
      </w:r>
      <w:r>
        <w:rPr>
          <w:rFonts w:hint="eastAsia" w:ascii="Times New Roman" w:hAnsi="Times New Roman" w:eastAsia="仿宋_GB2312" w:cs="Times New Roman"/>
          <w:color w:val="000000" w:themeColor="text1"/>
          <w:kern w:val="0"/>
          <w:sz w:val="32"/>
          <w:szCs w:val="32"/>
          <w:shd w:val="clear" w:fill="FFFFFF"/>
          <w:lang w:val="en-US" w:eastAsia="zh-CN" w:bidi="ar"/>
          <w14:textFill>
            <w14:solidFill>
              <w14:schemeClr w14:val="tx1"/>
            </w14:solidFill>
          </w14:textFill>
        </w:rPr>
        <w:t>由信用监管股牵头，以区</w:t>
      </w:r>
      <w:r>
        <w:rPr>
          <w:rFonts w:hint="default" w:ascii="Times New Roman" w:hAnsi="Times New Roman" w:eastAsia="仿宋_GB2312" w:cs="Times New Roman"/>
          <w:color w:val="000000" w:themeColor="text1"/>
          <w:kern w:val="0"/>
          <w:sz w:val="32"/>
          <w:szCs w:val="32"/>
          <w:shd w:val="clear" w:fill="FFFFFF"/>
          <w:lang w:val="en-US" w:eastAsia="zh-CN" w:bidi="ar"/>
          <w14:textFill>
            <w14:solidFill>
              <w14:schemeClr w14:val="tx1"/>
            </w14:solidFill>
          </w14:textFill>
        </w:rPr>
        <w:t>“双随机</w:t>
      </w:r>
      <w:r>
        <w:rPr>
          <w:rFonts w:hint="eastAsia" w:ascii="Times New Roman" w:hAnsi="Times New Roman" w:eastAsia="仿宋_GB2312" w:cs="Times New Roman"/>
          <w:color w:val="000000" w:themeColor="text1"/>
          <w:kern w:val="0"/>
          <w:sz w:val="32"/>
          <w:szCs w:val="32"/>
          <w:shd w:val="clear" w:fill="FFFFFF"/>
          <w:lang w:val="en-US" w:eastAsia="zh-CN" w:bidi="ar"/>
          <w14:textFill>
            <w14:solidFill>
              <w14:schemeClr w14:val="tx1"/>
            </w14:solidFill>
          </w14:textFill>
        </w:rPr>
        <w:t>、</w:t>
      </w:r>
      <w:r>
        <w:rPr>
          <w:rFonts w:hint="default" w:ascii="Times New Roman" w:hAnsi="Times New Roman" w:eastAsia="仿宋_GB2312" w:cs="Times New Roman"/>
          <w:color w:val="000000" w:themeColor="text1"/>
          <w:kern w:val="0"/>
          <w:sz w:val="32"/>
          <w:szCs w:val="32"/>
          <w:shd w:val="clear" w:fill="FFFFFF"/>
          <w:lang w:val="en-US" w:eastAsia="zh-CN" w:bidi="ar"/>
          <w14:textFill>
            <w14:solidFill>
              <w14:schemeClr w14:val="tx1"/>
            </w14:solidFill>
          </w14:textFill>
        </w:rPr>
        <w:t>一公开”</w:t>
      </w:r>
      <w:r>
        <w:rPr>
          <w:rFonts w:hint="eastAsia" w:ascii="Times New Roman" w:hAnsi="Times New Roman" w:eastAsia="仿宋_GB2312" w:cs="Times New Roman"/>
          <w:color w:val="000000" w:themeColor="text1"/>
          <w:kern w:val="0"/>
          <w:sz w:val="32"/>
          <w:szCs w:val="32"/>
          <w:shd w:val="clear" w:fill="FFFFFF"/>
          <w:lang w:val="en-US" w:eastAsia="zh-CN" w:bidi="ar"/>
          <w14:textFill>
            <w14:solidFill>
              <w14:schemeClr w14:val="tx1"/>
            </w14:solidFill>
          </w14:textFill>
        </w:rPr>
        <w:t>联席会议办公室名义联合区绩效事务中心</w:t>
      </w:r>
      <w:r>
        <w:rPr>
          <w:rFonts w:hint="default" w:ascii="Times New Roman" w:hAnsi="Times New Roman" w:eastAsia="仿宋_GB2312" w:cs="Times New Roman"/>
          <w:color w:val="000000" w:themeColor="text1"/>
          <w:kern w:val="0"/>
          <w:sz w:val="32"/>
          <w:szCs w:val="32"/>
          <w:shd w:val="clear" w:fill="FFFFFF"/>
          <w:lang w:val="en-US" w:eastAsia="zh-CN" w:bidi="ar"/>
          <w14:textFill>
            <w14:solidFill>
              <w14:schemeClr w14:val="tx1"/>
            </w14:solidFill>
          </w14:textFill>
        </w:rPr>
        <w:t>开展“双随机</w:t>
      </w:r>
      <w:r>
        <w:rPr>
          <w:rFonts w:hint="eastAsia" w:ascii="Times New Roman" w:hAnsi="Times New Roman" w:eastAsia="仿宋_GB2312" w:cs="Times New Roman"/>
          <w:color w:val="000000" w:themeColor="text1"/>
          <w:kern w:val="0"/>
          <w:sz w:val="32"/>
          <w:szCs w:val="32"/>
          <w:shd w:val="clear" w:fill="FFFFFF"/>
          <w:lang w:val="en-US" w:eastAsia="zh-CN" w:bidi="ar"/>
          <w14:textFill>
            <w14:solidFill>
              <w14:schemeClr w14:val="tx1"/>
            </w14:solidFill>
          </w14:textFill>
        </w:rPr>
        <w:t>、</w:t>
      </w:r>
      <w:r>
        <w:rPr>
          <w:rFonts w:hint="default" w:ascii="Times New Roman" w:hAnsi="Times New Roman" w:eastAsia="仿宋_GB2312" w:cs="Times New Roman"/>
          <w:color w:val="000000" w:themeColor="text1"/>
          <w:kern w:val="0"/>
          <w:sz w:val="32"/>
          <w:szCs w:val="32"/>
          <w:shd w:val="clear" w:fill="FFFFFF"/>
          <w:lang w:val="en-US" w:eastAsia="zh-CN" w:bidi="ar"/>
          <w14:textFill>
            <w14:solidFill>
              <w14:schemeClr w14:val="tx1"/>
            </w14:solidFill>
          </w14:textFill>
        </w:rPr>
        <w:t>一公开”监管工作专项督导</w:t>
      </w:r>
      <w:r>
        <w:rPr>
          <w:rFonts w:hint="eastAsia" w:ascii="Times New Roman" w:hAnsi="Times New Roman" w:eastAsia="仿宋_GB2312" w:cs="Times New Roman"/>
          <w:color w:val="000000" w:themeColor="text1"/>
          <w:kern w:val="0"/>
          <w:sz w:val="32"/>
          <w:szCs w:val="32"/>
          <w:shd w:val="clear" w:fill="FFFFFF"/>
          <w:lang w:val="en-US" w:eastAsia="zh-CN" w:bidi="ar"/>
          <w14:textFill>
            <w14:solidFill>
              <w14:schemeClr w14:val="tx1"/>
            </w14:solidFill>
          </w14:textFill>
        </w:rPr>
        <w:t>，并予以通报，一年不少于</w:t>
      </w:r>
      <w:r>
        <w:rPr>
          <w:rFonts w:hint="default" w:ascii="Times New Roman" w:hAnsi="Times New Roman" w:eastAsia="仿宋_GB2312" w:cs="Times New Roman"/>
          <w:color w:val="000000" w:themeColor="text1"/>
          <w:kern w:val="0"/>
          <w:sz w:val="32"/>
          <w:szCs w:val="32"/>
          <w:shd w:val="clear" w:fill="FFFFFF"/>
          <w:lang w:val="en-US" w:eastAsia="zh-CN" w:bidi="ar"/>
          <w14:textFill>
            <w14:solidFill>
              <w14:schemeClr w14:val="tx1"/>
            </w14:solidFill>
          </w14:textFill>
        </w:rPr>
        <w:t>2次</w:t>
      </w:r>
      <w:r>
        <w:rPr>
          <w:rFonts w:hint="eastAsia" w:ascii="Times New Roman" w:hAnsi="Times New Roman" w:eastAsia="仿宋_GB2312" w:cs="Times New Roman"/>
          <w:color w:val="000000" w:themeColor="text1"/>
          <w:kern w:val="0"/>
          <w:sz w:val="32"/>
          <w:szCs w:val="32"/>
          <w:shd w:val="clear" w:fill="FFFFFF"/>
          <w:lang w:val="en-US" w:eastAsia="zh-CN" w:bidi="ar"/>
          <w14:textFill>
            <w14:solidFill>
              <w14:schemeClr w14:val="tx1"/>
            </w14:solidFill>
          </w14:textFill>
        </w:rPr>
        <w:t>。</w:t>
      </w:r>
      <w:bookmarkStart w:id="0" w:name="_GoBack"/>
      <w:bookmarkEnd w:id="0"/>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76" w:lineRule="exact"/>
        <w:ind w:firstLine="630"/>
        <w:textAlignment w:val="auto"/>
        <w:rPr>
          <w:rFonts w:hint="default" w:ascii="Times New Roman" w:hAnsi="Times New Roman" w:eastAsia="仿宋_GB2312" w:cs="Times New Roman"/>
          <w:color w:val="000000" w:themeColor="text1"/>
          <w:kern w:val="0"/>
          <w:sz w:val="32"/>
          <w:szCs w:val="32"/>
          <w:shd w:val="clear" w:fill="FFFFFF"/>
          <w:lang w:val="en-US" w:eastAsia="zh-CN" w:bidi="ar"/>
          <w14:textFill>
            <w14:solidFill>
              <w14:schemeClr w14:val="tx1"/>
            </w14:solidFill>
          </w14:textFill>
        </w:rPr>
      </w:pPr>
      <w:r>
        <w:rPr>
          <w:rFonts w:hint="eastAsia" w:ascii="Times New Roman" w:hAnsi="Times New Roman" w:eastAsia="仿宋_GB2312" w:cs="Times New Roman"/>
          <w:color w:val="000000" w:themeColor="text1"/>
          <w:kern w:val="0"/>
          <w:sz w:val="32"/>
          <w:szCs w:val="32"/>
          <w:shd w:val="clear" w:fill="FFFFFF"/>
          <w:lang w:val="en-US" w:eastAsia="zh-CN" w:bidi="ar"/>
          <w14:textFill>
            <w14:solidFill>
              <w14:schemeClr w14:val="tx1"/>
            </w14:solidFill>
          </w14:textFill>
        </w:rPr>
        <w:t xml:space="preserve">第二十二条 </w:t>
      </w:r>
      <w:r>
        <w:rPr>
          <w:rFonts w:hint="eastAsia" w:ascii="仿宋" w:hAnsi="仿宋" w:eastAsia="仿宋" w:cs="仿宋"/>
          <w:color w:val="000000" w:themeColor="text1"/>
          <w:sz w:val="32"/>
          <w:szCs w:val="32"/>
          <w:lang w:val="en-US" w:eastAsia="zh-CN"/>
          <w14:textFill>
            <w14:solidFill>
              <w14:schemeClr w14:val="tx1"/>
            </w14:solidFill>
          </w14:textFill>
        </w:rPr>
        <w:t xml:space="preserve"> </w:t>
      </w:r>
      <w:r>
        <w:rPr>
          <w:rFonts w:hint="eastAsia" w:ascii="Times New Roman" w:hAnsi="Times New Roman" w:eastAsia="仿宋_GB2312" w:cs="Times New Roman"/>
          <w:color w:val="000000" w:themeColor="text1"/>
          <w:kern w:val="0"/>
          <w:sz w:val="32"/>
          <w:szCs w:val="32"/>
          <w:shd w:val="clear" w:fill="FFFFFF"/>
          <w:lang w:val="en-US" w:eastAsia="zh-CN" w:bidi="ar"/>
          <w14:textFill>
            <w14:solidFill>
              <w14:schemeClr w14:val="tx1"/>
            </w14:solidFill>
          </w14:textFill>
        </w:rPr>
        <w:t>将</w:t>
      </w:r>
      <w:r>
        <w:rPr>
          <w:rFonts w:hint="default" w:ascii="Times New Roman" w:hAnsi="Times New Roman" w:eastAsia="仿宋_GB2312" w:cs="Times New Roman"/>
          <w:color w:val="000000" w:themeColor="text1"/>
          <w:kern w:val="0"/>
          <w:sz w:val="32"/>
          <w:szCs w:val="32"/>
          <w:shd w:val="clear" w:fill="FFFFFF"/>
          <w:lang w:val="en-US" w:eastAsia="zh-CN" w:bidi="ar"/>
          <w14:textFill>
            <w14:solidFill>
              <w14:schemeClr w14:val="tx1"/>
            </w14:solidFill>
          </w14:textFill>
        </w:rPr>
        <w:t>“双随机</w:t>
      </w:r>
      <w:r>
        <w:rPr>
          <w:rFonts w:hint="eastAsia" w:ascii="Times New Roman" w:hAnsi="Times New Roman" w:eastAsia="仿宋_GB2312" w:cs="Times New Roman"/>
          <w:color w:val="000000" w:themeColor="text1"/>
          <w:kern w:val="0"/>
          <w:sz w:val="32"/>
          <w:szCs w:val="32"/>
          <w:shd w:val="clear" w:fill="FFFFFF"/>
          <w:lang w:val="en-US" w:eastAsia="zh-CN" w:bidi="ar"/>
          <w14:textFill>
            <w14:solidFill>
              <w14:schemeClr w14:val="tx1"/>
            </w14:solidFill>
          </w14:textFill>
        </w:rPr>
        <w:t>、</w:t>
      </w:r>
      <w:r>
        <w:rPr>
          <w:rFonts w:hint="default" w:ascii="Times New Roman" w:hAnsi="Times New Roman" w:eastAsia="仿宋_GB2312" w:cs="Times New Roman"/>
          <w:color w:val="000000" w:themeColor="text1"/>
          <w:kern w:val="0"/>
          <w:sz w:val="32"/>
          <w:szCs w:val="32"/>
          <w:shd w:val="clear" w:fill="FFFFFF"/>
          <w:lang w:val="en-US" w:eastAsia="zh-CN" w:bidi="ar"/>
          <w14:textFill>
            <w14:solidFill>
              <w14:schemeClr w14:val="tx1"/>
            </w14:solidFill>
          </w14:textFill>
        </w:rPr>
        <w:t>一公开”监管工作</w:t>
      </w:r>
      <w:r>
        <w:rPr>
          <w:rFonts w:hint="eastAsia" w:ascii="Times New Roman" w:hAnsi="Times New Roman" w:eastAsia="仿宋_GB2312" w:cs="Times New Roman"/>
          <w:color w:val="000000" w:themeColor="text1"/>
          <w:kern w:val="0"/>
          <w:sz w:val="32"/>
          <w:szCs w:val="32"/>
          <w:shd w:val="clear" w:fill="FFFFFF"/>
          <w:lang w:val="en-US" w:eastAsia="zh-CN" w:bidi="ar"/>
          <w14:textFill>
            <w14:solidFill>
              <w14:schemeClr w14:val="tx1"/>
            </w14:solidFill>
          </w14:textFill>
        </w:rPr>
        <w:t>纳入各业务部门的年度绩效考核内容，并作为评先评优和晋升晋级的重要依据。</w:t>
      </w:r>
    </w:p>
    <w:p>
      <w:pPr>
        <w:pStyle w:val="6"/>
        <w:shd w:val="clear" w:color="auto" w:fill="FFFFFF"/>
        <w:spacing w:before="0" w:beforeAutospacing="0" w:after="0" w:afterAutospacing="0" w:line="560" w:lineRule="exact"/>
        <w:ind w:firstLine="645"/>
        <w:jc w:val="center"/>
        <w:rPr>
          <w:rFonts w:ascii="仿宋" w:hAnsi="仿宋" w:eastAsia="仿宋"/>
          <w:color w:val="000000" w:themeColor="text1"/>
          <w:sz w:val="32"/>
          <w:szCs w:val="32"/>
          <w14:textFill>
            <w14:solidFill>
              <w14:schemeClr w14:val="tx1"/>
            </w14:solidFill>
          </w14:textFill>
        </w:rPr>
      </w:pPr>
    </w:p>
    <w:p>
      <w:pPr>
        <w:keepNext w:val="0"/>
        <w:keepLines w:val="0"/>
        <w:widowControl w:val="0"/>
        <w:suppressLineNumbers w:val="0"/>
        <w:autoSpaceDE w:val="0"/>
        <w:autoSpaceDN/>
        <w:snapToGrid w:val="0"/>
        <w:spacing w:before="0" w:beforeAutospacing="0" w:after="0" w:afterAutospacing="0" w:line="570" w:lineRule="exact"/>
        <w:ind w:left="781" w:leftChars="0" w:right="-94" w:rightChars="0" w:hanging="781" w:hangingChars="217"/>
        <w:jc w:val="center"/>
        <w:rPr>
          <w:rFonts w:hint="eastAsia" w:ascii="黑体" w:hAnsi="黑体" w:eastAsia="黑体" w:cs="黑体"/>
          <w:kern w:val="2"/>
          <w:sz w:val="36"/>
          <w:szCs w:val="36"/>
          <w:shd w:val="clear" w:fill="FFFFFF"/>
          <w:lang w:val="en-US" w:eastAsia="zh-CN" w:bidi="ar"/>
        </w:rPr>
        <w:sectPr>
          <w:footerReference r:id="rId3" w:type="default"/>
          <w:pgSz w:w="11906" w:h="16838"/>
          <w:pgMar w:top="2098" w:right="1474" w:bottom="1984" w:left="1587" w:header="851" w:footer="992" w:gutter="0"/>
          <w:pgNumType w:fmt="numberInDash"/>
          <w:cols w:space="0" w:num="1"/>
          <w:rtlGutter w:val="0"/>
          <w:docGrid w:type="lines" w:linePitch="312" w:charSpace="0"/>
        </w:sectPr>
      </w:pPr>
    </w:p>
    <w:p>
      <w:pPr>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广元市昭化区市场监管局2021年度“双随机、一公开”监管工作计划表</w:t>
      </w:r>
    </w:p>
    <w:tbl>
      <w:tblPr>
        <w:tblStyle w:val="7"/>
        <w:tblW w:w="14586" w:type="dxa"/>
        <w:tblInd w:w="-293" w:type="dxa"/>
        <w:shd w:val="clear" w:color="auto" w:fill="auto"/>
        <w:tblLayout w:type="fixed"/>
        <w:tblCellMar>
          <w:top w:w="0" w:type="dxa"/>
          <w:left w:w="0" w:type="dxa"/>
          <w:bottom w:w="0" w:type="dxa"/>
          <w:right w:w="0" w:type="dxa"/>
        </w:tblCellMar>
      </w:tblPr>
      <w:tblGrid>
        <w:gridCol w:w="666"/>
        <w:gridCol w:w="1128"/>
        <w:gridCol w:w="1536"/>
        <w:gridCol w:w="3096"/>
        <w:gridCol w:w="3780"/>
        <w:gridCol w:w="1380"/>
        <w:gridCol w:w="756"/>
        <w:gridCol w:w="2244"/>
      </w:tblGrid>
      <w:tr>
        <w:tblPrEx>
          <w:shd w:val="clear" w:color="auto" w:fill="auto"/>
          <w:tblCellMar>
            <w:top w:w="0" w:type="dxa"/>
            <w:left w:w="0" w:type="dxa"/>
            <w:bottom w:w="0" w:type="dxa"/>
            <w:right w:w="0" w:type="dxa"/>
          </w:tblCellMar>
        </w:tblPrEx>
        <w:trPr>
          <w:trHeight w:val="780" w:hRule="atLeast"/>
        </w:trPr>
        <w:tc>
          <w:tcPr>
            <w:tcW w:w="666" w:type="dxa"/>
            <w:tcBorders>
              <w:top w:val="single" w:color="auto" w:sz="4" w:space="0"/>
              <w:left w:val="single" w:color="auto" w:sz="4" w:space="0"/>
              <w:bottom w:val="single" w:color="auto"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序号</w:t>
            </w:r>
          </w:p>
        </w:tc>
        <w:tc>
          <w:tcPr>
            <w:tcW w:w="1128" w:type="dxa"/>
            <w:tcBorders>
              <w:top w:val="single" w:color="auto"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责任</w:t>
            </w:r>
          </w:p>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股室</w:t>
            </w:r>
          </w:p>
        </w:tc>
        <w:tc>
          <w:tcPr>
            <w:tcW w:w="1536" w:type="dxa"/>
            <w:tcBorders>
              <w:top w:val="single" w:color="auto"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计划</w:t>
            </w:r>
          </w:p>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名称</w:t>
            </w:r>
          </w:p>
        </w:tc>
        <w:tc>
          <w:tcPr>
            <w:tcW w:w="3096" w:type="dxa"/>
            <w:tcBorders>
              <w:top w:val="single" w:color="auto" w:sz="4" w:space="0"/>
              <w:left w:val="single" w:color="000000" w:sz="4" w:space="0"/>
              <w:bottom w:val="single" w:color="auto"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抽查事项</w:t>
            </w:r>
          </w:p>
        </w:tc>
        <w:tc>
          <w:tcPr>
            <w:tcW w:w="3780" w:type="dxa"/>
            <w:tcBorders>
              <w:top w:val="single" w:color="auto" w:sz="4" w:space="0"/>
              <w:left w:val="single" w:color="000000" w:sz="4" w:space="0"/>
              <w:bottom w:val="single" w:color="auto"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检查对象</w:t>
            </w:r>
          </w:p>
        </w:tc>
        <w:tc>
          <w:tcPr>
            <w:tcW w:w="1380" w:type="dxa"/>
            <w:tcBorders>
              <w:top w:val="single" w:color="auto" w:sz="4" w:space="0"/>
              <w:left w:val="single" w:color="000000" w:sz="4" w:space="0"/>
              <w:bottom w:val="single" w:color="auto"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检查方式</w:t>
            </w:r>
          </w:p>
        </w:tc>
        <w:tc>
          <w:tcPr>
            <w:tcW w:w="756" w:type="dxa"/>
            <w:tcBorders>
              <w:top w:val="single" w:color="auto"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抽查</w:t>
            </w:r>
          </w:p>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比例</w:t>
            </w:r>
          </w:p>
        </w:tc>
        <w:tc>
          <w:tcPr>
            <w:tcW w:w="2244" w:type="dxa"/>
            <w:tcBorders>
              <w:top w:val="single" w:color="auto" w:sz="4" w:space="0"/>
              <w:left w:val="single" w:color="000000"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检查时间</w:t>
            </w:r>
          </w:p>
        </w:tc>
      </w:tr>
      <w:tr>
        <w:tblPrEx>
          <w:shd w:val="clear" w:color="auto" w:fill="auto"/>
          <w:tblCellMar>
            <w:top w:w="0" w:type="dxa"/>
            <w:left w:w="0" w:type="dxa"/>
            <w:bottom w:w="0" w:type="dxa"/>
            <w:right w:w="0" w:type="dxa"/>
          </w:tblCellMar>
        </w:tblPrEx>
        <w:trPr>
          <w:trHeight w:val="674" w:hRule="atLeast"/>
        </w:trPr>
        <w:tc>
          <w:tcPr>
            <w:tcW w:w="666" w:type="dxa"/>
            <w:vMerge w:val="restart"/>
            <w:tcBorders>
              <w:top w:val="single" w:color="auto"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128" w:type="dxa"/>
            <w:vMerge w:val="restart"/>
            <w:tcBorders>
              <w:top w:val="single" w:color="auto"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信用监管股</w:t>
            </w:r>
          </w:p>
        </w:tc>
        <w:tc>
          <w:tcPr>
            <w:tcW w:w="1536" w:type="dxa"/>
            <w:vMerge w:val="restart"/>
            <w:tcBorders>
              <w:top w:val="single" w:color="auto"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登记事项检查</w:t>
            </w:r>
          </w:p>
        </w:tc>
        <w:tc>
          <w:tcPr>
            <w:tcW w:w="3096" w:type="dxa"/>
            <w:tcBorders>
              <w:top w:val="single" w:color="auto"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住所（经营场所）或驻在场所的检查</w:t>
            </w:r>
          </w:p>
        </w:tc>
        <w:tc>
          <w:tcPr>
            <w:tcW w:w="3780" w:type="dxa"/>
            <w:tcBorders>
              <w:top w:val="single" w:color="auto"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企业、个体工商户、</w:t>
            </w:r>
          </w:p>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农民专业合作社</w:t>
            </w:r>
          </w:p>
        </w:tc>
        <w:tc>
          <w:tcPr>
            <w:tcW w:w="1380" w:type="dxa"/>
            <w:tcBorders>
              <w:top w:val="single" w:color="auto"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现场检查</w:t>
            </w:r>
          </w:p>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网络检查</w:t>
            </w:r>
          </w:p>
        </w:tc>
        <w:tc>
          <w:tcPr>
            <w:tcW w:w="756" w:type="dxa"/>
            <w:vMerge w:val="restart"/>
            <w:tcBorders>
              <w:top w:val="single" w:color="auto"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w:t>
            </w:r>
          </w:p>
        </w:tc>
        <w:tc>
          <w:tcPr>
            <w:tcW w:w="2244" w:type="dxa"/>
            <w:vMerge w:val="restart"/>
            <w:tcBorders>
              <w:top w:val="single" w:color="auto"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2021年11月10日前</w:t>
            </w:r>
          </w:p>
        </w:tc>
      </w:tr>
      <w:tr>
        <w:tblPrEx>
          <w:shd w:val="clear" w:color="auto" w:fill="auto"/>
          <w:tblCellMar>
            <w:top w:w="0" w:type="dxa"/>
            <w:left w:w="0" w:type="dxa"/>
            <w:bottom w:w="0" w:type="dxa"/>
            <w:right w:w="0" w:type="dxa"/>
          </w:tblCellMar>
        </w:tblPrEx>
        <w:trPr>
          <w:trHeight w:val="698" w:hRule="atLeast"/>
        </w:trPr>
        <w:tc>
          <w:tcPr>
            <w:tcW w:w="66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12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5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2"/>
                <w:szCs w:val="22"/>
                <w:u w:val="none"/>
              </w:rPr>
            </w:pPr>
          </w:p>
        </w:tc>
        <w:tc>
          <w:tcPr>
            <w:tcW w:w="30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营业执照（登记证）规范使用情况的检查</w:t>
            </w:r>
          </w:p>
        </w:tc>
        <w:tc>
          <w:tcPr>
            <w:tcW w:w="37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企业、个体工商户、</w:t>
            </w:r>
          </w:p>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农民专业合作社</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现场检查</w:t>
            </w:r>
          </w:p>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网络检查</w:t>
            </w:r>
          </w:p>
        </w:tc>
        <w:tc>
          <w:tcPr>
            <w:tcW w:w="7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2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638" w:hRule="atLeast"/>
        </w:trPr>
        <w:tc>
          <w:tcPr>
            <w:tcW w:w="66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12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5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2"/>
                <w:szCs w:val="22"/>
                <w:u w:val="none"/>
              </w:rPr>
            </w:pPr>
          </w:p>
        </w:tc>
        <w:tc>
          <w:tcPr>
            <w:tcW w:w="30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名称规范使用情况的检查</w:t>
            </w:r>
          </w:p>
        </w:tc>
        <w:tc>
          <w:tcPr>
            <w:tcW w:w="37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企业、个体工商户、</w:t>
            </w:r>
          </w:p>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农民专业合作社</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现场检查</w:t>
            </w:r>
          </w:p>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网络检查</w:t>
            </w:r>
          </w:p>
        </w:tc>
        <w:tc>
          <w:tcPr>
            <w:tcW w:w="7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2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90" w:hRule="atLeast"/>
        </w:trPr>
        <w:tc>
          <w:tcPr>
            <w:tcW w:w="66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12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5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2"/>
                <w:szCs w:val="22"/>
                <w:u w:val="none"/>
              </w:rPr>
            </w:pPr>
          </w:p>
        </w:tc>
        <w:tc>
          <w:tcPr>
            <w:tcW w:w="30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经营（驻在）期限的检查</w:t>
            </w:r>
          </w:p>
        </w:tc>
        <w:tc>
          <w:tcPr>
            <w:tcW w:w="37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企业、个体工商户、</w:t>
            </w:r>
          </w:p>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农民专业合作社</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现场检查</w:t>
            </w:r>
          </w:p>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网络检查</w:t>
            </w:r>
          </w:p>
        </w:tc>
        <w:tc>
          <w:tcPr>
            <w:tcW w:w="7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2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698" w:hRule="atLeast"/>
        </w:trPr>
        <w:tc>
          <w:tcPr>
            <w:tcW w:w="66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12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5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2"/>
                <w:szCs w:val="22"/>
                <w:u w:val="none"/>
              </w:rPr>
            </w:pPr>
          </w:p>
        </w:tc>
        <w:tc>
          <w:tcPr>
            <w:tcW w:w="3096" w:type="dxa"/>
            <w:tcBorders>
              <w:top w:val="single" w:color="000000"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经营（业务）范围中无需审批的经营（业务）项目的检查</w:t>
            </w:r>
          </w:p>
        </w:tc>
        <w:tc>
          <w:tcPr>
            <w:tcW w:w="3780" w:type="dxa"/>
            <w:tcBorders>
              <w:top w:val="single" w:color="000000"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企业、个体工商户、</w:t>
            </w:r>
          </w:p>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农民专业合作社</w:t>
            </w:r>
          </w:p>
        </w:tc>
        <w:tc>
          <w:tcPr>
            <w:tcW w:w="1380" w:type="dxa"/>
            <w:tcBorders>
              <w:top w:val="single" w:color="000000"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现场检查</w:t>
            </w:r>
          </w:p>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网络检查</w:t>
            </w:r>
          </w:p>
        </w:tc>
        <w:tc>
          <w:tcPr>
            <w:tcW w:w="7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2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1000" w:hRule="atLeast"/>
        </w:trPr>
        <w:tc>
          <w:tcPr>
            <w:tcW w:w="66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12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536" w:type="dxa"/>
            <w:vMerge w:val="continue"/>
            <w:tcBorders>
              <w:top w:val="single" w:color="000000" w:sz="4" w:space="0"/>
              <w:left w:val="single" w:color="000000" w:sz="4" w:space="0"/>
              <w:bottom w:val="single" w:color="000000" w:sz="4" w:space="0"/>
              <w:right w:val="single" w:color="auto"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2"/>
                <w:szCs w:val="22"/>
                <w:u w:val="none"/>
              </w:rPr>
            </w:pPr>
          </w:p>
        </w:tc>
        <w:tc>
          <w:tcPr>
            <w:tcW w:w="309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注册资本实缴情况的检查</w:t>
            </w:r>
          </w:p>
        </w:tc>
        <w:tc>
          <w:tcPr>
            <w:tcW w:w="378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《国务院关于印发注册资本登记制度改革方案的通知》明确的暂不实行注册资本认缴登记制的行业企业</w:t>
            </w:r>
          </w:p>
        </w:tc>
        <w:tc>
          <w:tcPr>
            <w:tcW w:w="138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现场检查</w:t>
            </w:r>
          </w:p>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网络检查</w:t>
            </w:r>
          </w:p>
        </w:tc>
        <w:tc>
          <w:tcPr>
            <w:tcW w:w="756" w:type="dxa"/>
            <w:vMerge w:val="continue"/>
            <w:tcBorders>
              <w:top w:val="single" w:color="000000" w:sz="4" w:space="0"/>
              <w:left w:val="single" w:color="auto"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2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576" w:hRule="atLeast"/>
        </w:trPr>
        <w:tc>
          <w:tcPr>
            <w:tcW w:w="66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12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536" w:type="dxa"/>
            <w:vMerge w:val="continue"/>
            <w:tcBorders>
              <w:top w:val="single" w:color="000000" w:sz="4" w:space="0"/>
              <w:left w:val="single" w:color="000000" w:sz="4" w:space="0"/>
              <w:bottom w:val="single" w:color="000000" w:sz="4" w:space="0"/>
              <w:right w:val="single" w:color="auto"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2"/>
                <w:szCs w:val="22"/>
                <w:u w:val="none"/>
              </w:rPr>
            </w:pPr>
          </w:p>
        </w:tc>
        <w:tc>
          <w:tcPr>
            <w:tcW w:w="309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法定代表人（负责人）任职情况的检查</w:t>
            </w:r>
          </w:p>
        </w:tc>
        <w:tc>
          <w:tcPr>
            <w:tcW w:w="378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企业</w:t>
            </w:r>
          </w:p>
        </w:tc>
        <w:tc>
          <w:tcPr>
            <w:tcW w:w="138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现场检查</w:t>
            </w:r>
          </w:p>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网络检查</w:t>
            </w:r>
          </w:p>
        </w:tc>
        <w:tc>
          <w:tcPr>
            <w:tcW w:w="756" w:type="dxa"/>
            <w:vMerge w:val="continue"/>
            <w:tcBorders>
              <w:top w:val="single" w:color="000000" w:sz="4" w:space="0"/>
              <w:left w:val="single" w:color="auto"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2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568" w:hRule="atLeast"/>
        </w:trPr>
        <w:tc>
          <w:tcPr>
            <w:tcW w:w="66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12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5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2"/>
                <w:szCs w:val="22"/>
                <w:u w:val="none"/>
              </w:rPr>
            </w:pPr>
          </w:p>
        </w:tc>
        <w:tc>
          <w:tcPr>
            <w:tcW w:w="3096" w:type="dxa"/>
            <w:tcBorders>
              <w:top w:val="single" w:color="auto"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法定代表人、自然人股东身份真实性的检查</w:t>
            </w:r>
          </w:p>
        </w:tc>
        <w:tc>
          <w:tcPr>
            <w:tcW w:w="3780" w:type="dxa"/>
            <w:tcBorders>
              <w:top w:val="single" w:color="auto"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企业</w:t>
            </w:r>
          </w:p>
        </w:tc>
        <w:tc>
          <w:tcPr>
            <w:tcW w:w="1380" w:type="dxa"/>
            <w:tcBorders>
              <w:top w:val="single" w:color="auto"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现场检查</w:t>
            </w:r>
          </w:p>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网络检查</w:t>
            </w:r>
          </w:p>
        </w:tc>
        <w:tc>
          <w:tcPr>
            <w:tcW w:w="7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2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1152" w:hRule="atLeast"/>
        </w:trPr>
        <w:tc>
          <w:tcPr>
            <w:tcW w:w="666"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w:t>
            </w:r>
          </w:p>
        </w:tc>
        <w:tc>
          <w:tcPr>
            <w:tcW w:w="1128"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信用监管股</w:t>
            </w:r>
          </w:p>
        </w:tc>
        <w:tc>
          <w:tcPr>
            <w:tcW w:w="1536"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公示信息检查</w:t>
            </w:r>
          </w:p>
        </w:tc>
        <w:tc>
          <w:tcPr>
            <w:tcW w:w="30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年度报告公示信息的检查</w:t>
            </w:r>
          </w:p>
        </w:tc>
        <w:tc>
          <w:tcPr>
            <w:tcW w:w="37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企业、个体工商户、</w:t>
            </w:r>
          </w:p>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农民专业合作社</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现场检查、书面检查、网络检查、专业机构核查</w:t>
            </w:r>
          </w:p>
        </w:tc>
        <w:tc>
          <w:tcPr>
            <w:tcW w:w="7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224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2021年11月10日前</w:t>
            </w:r>
          </w:p>
        </w:tc>
      </w:tr>
      <w:tr>
        <w:tblPrEx>
          <w:shd w:val="clear" w:color="auto" w:fill="auto"/>
          <w:tblCellMar>
            <w:top w:w="0" w:type="dxa"/>
            <w:left w:w="0" w:type="dxa"/>
            <w:bottom w:w="0" w:type="dxa"/>
            <w:right w:w="0" w:type="dxa"/>
          </w:tblCellMar>
        </w:tblPrEx>
        <w:trPr>
          <w:trHeight w:val="1152" w:hRule="atLeast"/>
        </w:trPr>
        <w:tc>
          <w:tcPr>
            <w:tcW w:w="66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12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5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3096"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即时公示信息的检查</w:t>
            </w:r>
          </w:p>
        </w:tc>
        <w:tc>
          <w:tcPr>
            <w:tcW w:w="3780"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企业</w:t>
            </w:r>
          </w:p>
        </w:tc>
        <w:tc>
          <w:tcPr>
            <w:tcW w:w="1380"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现场检查、书面检查、网络检查、专业机构核查</w:t>
            </w:r>
          </w:p>
        </w:tc>
        <w:tc>
          <w:tcPr>
            <w:tcW w:w="7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22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shd w:val="clear" w:color="auto" w:fill="auto"/>
          <w:tblCellMar>
            <w:top w:w="0" w:type="dxa"/>
            <w:left w:w="0" w:type="dxa"/>
            <w:bottom w:w="0" w:type="dxa"/>
            <w:right w:w="0" w:type="dxa"/>
          </w:tblCellMar>
        </w:tblPrEx>
        <w:trPr>
          <w:trHeight w:val="864"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w:t>
            </w:r>
          </w:p>
        </w:tc>
        <w:tc>
          <w:tcPr>
            <w:tcW w:w="11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市场监管股</w:t>
            </w:r>
          </w:p>
        </w:tc>
        <w:tc>
          <w:tcPr>
            <w:tcW w:w="15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电子商务经营行为监督检查</w:t>
            </w:r>
          </w:p>
        </w:tc>
        <w:tc>
          <w:tcPr>
            <w:tcW w:w="30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电子商务平台经营者履行主体责任的检查</w:t>
            </w:r>
          </w:p>
        </w:tc>
        <w:tc>
          <w:tcPr>
            <w:tcW w:w="37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电子商务平台经营者</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书面检查、</w:t>
            </w:r>
          </w:p>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网络检查、</w:t>
            </w:r>
          </w:p>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专业机构核查</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100%</w:t>
            </w:r>
          </w:p>
        </w:tc>
        <w:tc>
          <w:tcPr>
            <w:tcW w:w="22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2021年9月-11月10日前</w:t>
            </w:r>
          </w:p>
        </w:tc>
      </w:tr>
      <w:tr>
        <w:tblPrEx>
          <w:shd w:val="clear" w:color="auto" w:fill="auto"/>
          <w:tblCellMar>
            <w:top w:w="0" w:type="dxa"/>
            <w:left w:w="0" w:type="dxa"/>
            <w:bottom w:w="0" w:type="dxa"/>
            <w:right w:w="0" w:type="dxa"/>
          </w:tblCellMar>
        </w:tblPrEx>
        <w:trPr>
          <w:trHeight w:val="984" w:hRule="atLeast"/>
        </w:trPr>
        <w:tc>
          <w:tcPr>
            <w:tcW w:w="666"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4</w:t>
            </w:r>
          </w:p>
        </w:tc>
        <w:tc>
          <w:tcPr>
            <w:tcW w:w="1128"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市场监管股</w:t>
            </w:r>
          </w:p>
        </w:tc>
        <w:tc>
          <w:tcPr>
            <w:tcW w:w="15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拍卖等重要领域市场规范管理检查</w:t>
            </w:r>
          </w:p>
        </w:tc>
        <w:tc>
          <w:tcPr>
            <w:tcW w:w="30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文物经营活动经营资格的检查</w:t>
            </w:r>
          </w:p>
        </w:tc>
        <w:tc>
          <w:tcPr>
            <w:tcW w:w="37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企业、个体工商户</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现场检查</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100%</w:t>
            </w:r>
          </w:p>
        </w:tc>
        <w:tc>
          <w:tcPr>
            <w:tcW w:w="22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2021年11月10日前</w:t>
            </w:r>
          </w:p>
        </w:tc>
      </w:tr>
      <w:tr>
        <w:tblPrEx>
          <w:shd w:val="clear" w:color="auto" w:fill="auto"/>
          <w:tblCellMar>
            <w:top w:w="0" w:type="dxa"/>
            <w:left w:w="0" w:type="dxa"/>
            <w:bottom w:w="0" w:type="dxa"/>
            <w:right w:w="0" w:type="dxa"/>
          </w:tblCellMar>
        </w:tblPrEx>
        <w:trPr>
          <w:trHeight w:val="530" w:hRule="atLeast"/>
        </w:trPr>
        <w:tc>
          <w:tcPr>
            <w:tcW w:w="666"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5</w:t>
            </w:r>
          </w:p>
        </w:tc>
        <w:tc>
          <w:tcPr>
            <w:tcW w:w="1128"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市场监管股</w:t>
            </w:r>
          </w:p>
        </w:tc>
        <w:tc>
          <w:tcPr>
            <w:tcW w:w="1536"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广告行为检查</w:t>
            </w:r>
          </w:p>
        </w:tc>
        <w:tc>
          <w:tcPr>
            <w:tcW w:w="30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广告发布登记情况的检查</w:t>
            </w:r>
          </w:p>
        </w:tc>
        <w:tc>
          <w:tcPr>
            <w:tcW w:w="37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企业、个体工商户及其它经营单位</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现场检查</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100%</w:t>
            </w:r>
          </w:p>
        </w:tc>
        <w:tc>
          <w:tcPr>
            <w:tcW w:w="22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2021年11月10日前</w:t>
            </w:r>
          </w:p>
        </w:tc>
      </w:tr>
      <w:tr>
        <w:tblPrEx>
          <w:shd w:val="clear" w:color="auto" w:fill="auto"/>
          <w:tblCellMar>
            <w:top w:w="0" w:type="dxa"/>
            <w:left w:w="0" w:type="dxa"/>
            <w:bottom w:w="0" w:type="dxa"/>
            <w:right w:w="0" w:type="dxa"/>
          </w:tblCellMar>
        </w:tblPrEx>
        <w:trPr>
          <w:trHeight w:val="1152" w:hRule="atLeast"/>
        </w:trPr>
        <w:tc>
          <w:tcPr>
            <w:tcW w:w="66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12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5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30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药品、医疗器械、保健食品、特殊医学用途配方食品广告主发布相关广告的审查批准情况的检查</w:t>
            </w:r>
          </w:p>
        </w:tc>
        <w:tc>
          <w:tcPr>
            <w:tcW w:w="37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企业、个体工商户及其它经营单位</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现场检查</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10%</w:t>
            </w:r>
          </w:p>
        </w:tc>
        <w:tc>
          <w:tcPr>
            <w:tcW w:w="22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2021年11月10日前</w:t>
            </w:r>
          </w:p>
        </w:tc>
      </w:tr>
      <w:tr>
        <w:tblPrEx>
          <w:shd w:val="clear" w:color="auto" w:fill="auto"/>
          <w:tblCellMar>
            <w:top w:w="0" w:type="dxa"/>
            <w:left w:w="0" w:type="dxa"/>
            <w:bottom w:w="0" w:type="dxa"/>
            <w:right w:w="0" w:type="dxa"/>
          </w:tblCellMar>
        </w:tblPrEx>
        <w:trPr>
          <w:trHeight w:val="1048" w:hRule="atLeast"/>
        </w:trPr>
        <w:tc>
          <w:tcPr>
            <w:tcW w:w="66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12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5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30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广告经营者、广告发布者建立、健全广告业务的承接登记、审核、档案管理制度情况的检查</w:t>
            </w:r>
          </w:p>
        </w:tc>
        <w:tc>
          <w:tcPr>
            <w:tcW w:w="37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企业、个体工商户及其它经营单位</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现场检查</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10%</w:t>
            </w:r>
          </w:p>
        </w:tc>
        <w:tc>
          <w:tcPr>
            <w:tcW w:w="22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2021年11月10日前</w:t>
            </w:r>
          </w:p>
        </w:tc>
      </w:tr>
      <w:tr>
        <w:tblPrEx>
          <w:shd w:val="clear" w:color="auto" w:fill="auto"/>
          <w:tblCellMar>
            <w:top w:w="0" w:type="dxa"/>
            <w:left w:w="0" w:type="dxa"/>
            <w:bottom w:w="0" w:type="dxa"/>
            <w:right w:w="0" w:type="dxa"/>
          </w:tblCellMar>
        </w:tblPrEx>
        <w:trPr>
          <w:trHeight w:val="576" w:hRule="atLeast"/>
        </w:trPr>
        <w:tc>
          <w:tcPr>
            <w:tcW w:w="666" w:type="dxa"/>
            <w:tcBorders>
              <w:top w:val="single" w:color="000000"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6</w:t>
            </w:r>
          </w:p>
        </w:tc>
        <w:tc>
          <w:tcPr>
            <w:tcW w:w="1128" w:type="dxa"/>
            <w:tcBorders>
              <w:top w:val="single" w:color="000000"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食品监管股</w:t>
            </w:r>
          </w:p>
        </w:tc>
        <w:tc>
          <w:tcPr>
            <w:tcW w:w="1536" w:type="dxa"/>
            <w:tcBorders>
              <w:top w:val="single" w:color="000000"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食品生产监督检查</w:t>
            </w:r>
          </w:p>
        </w:tc>
        <w:tc>
          <w:tcPr>
            <w:tcW w:w="3096" w:type="dxa"/>
            <w:tcBorders>
              <w:top w:val="single" w:color="000000"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食品生产监督检查</w:t>
            </w:r>
          </w:p>
        </w:tc>
        <w:tc>
          <w:tcPr>
            <w:tcW w:w="3780" w:type="dxa"/>
            <w:tcBorders>
              <w:top w:val="single" w:color="000000"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获证食品生产企业</w:t>
            </w:r>
          </w:p>
        </w:tc>
        <w:tc>
          <w:tcPr>
            <w:tcW w:w="1380" w:type="dxa"/>
            <w:tcBorders>
              <w:top w:val="single" w:color="000000"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现场检查</w:t>
            </w:r>
          </w:p>
        </w:tc>
        <w:tc>
          <w:tcPr>
            <w:tcW w:w="756" w:type="dxa"/>
            <w:tcBorders>
              <w:top w:val="single" w:color="000000"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5%</w:t>
            </w:r>
          </w:p>
        </w:tc>
        <w:tc>
          <w:tcPr>
            <w:tcW w:w="2244" w:type="dxa"/>
            <w:tcBorders>
              <w:top w:val="single" w:color="000000"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2021年11月10日前</w:t>
            </w:r>
          </w:p>
        </w:tc>
      </w:tr>
      <w:tr>
        <w:tblPrEx>
          <w:shd w:val="clear" w:color="auto" w:fill="auto"/>
          <w:tblCellMar>
            <w:top w:w="0" w:type="dxa"/>
            <w:left w:w="0" w:type="dxa"/>
            <w:bottom w:w="0" w:type="dxa"/>
            <w:right w:w="0" w:type="dxa"/>
          </w:tblCellMar>
        </w:tblPrEx>
        <w:trPr>
          <w:trHeight w:val="532" w:hRule="atLeast"/>
        </w:trPr>
        <w:tc>
          <w:tcPr>
            <w:tcW w:w="666" w:type="dxa"/>
            <w:vMerge w:val="restar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7</w:t>
            </w:r>
          </w:p>
        </w:tc>
        <w:tc>
          <w:tcPr>
            <w:tcW w:w="1128" w:type="dxa"/>
            <w:vMerge w:val="restar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食品监管股</w:t>
            </w:r>
          </w:p>
        </w:tc>
        <w:tc>
          <w:tcPr>
            <w:tcW w:w="1536" w:type="dxa"/>
            <w:vMerge w:val="restar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食品销售监督检查</w:t>
            </w:r>
          </w:p>
        </w:tc>
        <w:tc>
          <w:tcPr>
            <w:tcW w:w="309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校园食品销售监督检查</w:t>
            </w:r>
          </w:p>
        </w:tc>
        <w:tc>
          <w:tcPr>
            <w:tcW w:w="378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校园及校园周边食品销售者</w:t>
            </w:r>
          </w:p>
        </w:tc>
        <w:tc>
          <w:tcPr>
            <w:tcW w:w="138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现场检查</w:t>
            </w:r>
          </w:p>
        </w:tc>
        <w:tc>
          <w:tcPr>
            <w:tcW w:w="75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5%</w:t>
            </w:r>
          </w:p>
        </w:tc>
        <w:tc>
          <w:tcPr>
            <w:tcW w:w="224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2021年11月10日前</w:t>
            </w:r>
          </w:p>
        </w:tc>
      </w:tr>
      <w:tr>
        <w:tblPrEx>
          <w:shd w:val="clear" w:color="auto" w:fill="auto"/>
          <w:tblCellMar>
            <w:top w:w="0" w:type="dxa"/>
            <w:left w:w="0" w:type="dxa"/>
            <w:bottom w:w="0" w:type="dxa"/>
            <w:right w:w="0" w:type="dxa"/>
          </w:tblCellMar>
        </w:tblPrEx>
        <w:trPr>
          <w:trHeight w:val="604" w:hRule="atLeast"/>
        </w:trPr>
        <w:tc>
          <w:tcPr>
            <w:tcW w:w="666" w:type="dxa"/>
            <w:vMerge w:val="continue"/>
            <w:tcBorders>
              <w:top w:val="single" w:color="auto" w:sz="4" w:space="0"/>
              <w:left w:val="single" w:color="auto" w:sz="4" w:space="0"/>
              <w:bottom w:val="single" w:color="auto"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128" w:type="dxa"/>
            <w:vMerge w:val="continue"/>
            <w:tcBorders>
              <w:top w:val="single" w:color="auto"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536" w:type="dxa"/>
            <w:vMerge w:val="continue"/>
            <w:tcBorders>
              <w:top w:val="single" w:color="auto" w:sz="4" w:space="0"/>
              <w:left w:val="single" w:color="000000"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309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高风险食品销售监督检查</w:t>
            </w:r>
          </w:p>
        </w:tc>
        <w:tc>
          <w:tcPr>
            <w:tcW w:w="378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风险等级为B、C、D级的食品销售者</w:t>
            </w:r>
          </w:p>
        </w:tc>
        <w:tc>
          <w:tcPr>
            <w:tcW w:w="138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现场检查</w:t>
            </w:r>
          </w:p>
        </w:tc>
        <w:tc>
          <w:tcPr>
            <w:tcW w:w="75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w:t>
            </w:r>
          </w:p>
        </w:tc>
        <w:tc>
          <w:tcPr>
            <w:tcW w:w="224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2021年11月10日前</w:t>
            </w:r>
          </w:p>
        </w:tc>
      </w:tr>
      <w:tr>
        <w:tblPrEx>
          <w:shd w:val="clear" w:color="auto" w:fill="auto"/>
          <w:tblCellMar>
            <w:top w:w="0" w:type="dxa"/>
            <w:left w:w="0" w:type="dxa"/>
            <w:bottom w:w="0" w:type="dxa"/>
            <w:right w:w="0" w:type="dxa"/>
          </w:tblCellMar>
        </w:tblPrEx>
        <w:trPr>
          <w:trHeight w:val="544" w:hRule="atLeast"/>
        </w:trPr>
        <w:tc>
          <w:tcPr>
            <w:tcW w:w="666" w:type="dxa"/>
            <w:vMerge w:val="continue"/>
            <w:tcBorders>
              <w:top w:val="single" w:color="auto" w:sz="4" w:space="0"/>
              <w:left w:val="single" w:color="auto" w:sz="4" w:space="0"/>
              <w:bottom w:val="single" w:color="auto"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128" w:type="dxa"/>
            <w:vMerge w:val="continue"/>
            <w:tcBorders>
              <w:top w:val="single" w:color="auto"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536" w:type="dxa"/>
            <w:vMerge w:val="continue"/>
            <w:tcBorders>
              <w:top w:val="single" w:color="auto" w:sz="4" w:space="0"/>
              <w:left w:val="single" w:color="000000"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309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一般风险食品销售监督检查</w:t>
            </w:r>
          </w:p>
        </w:tc>
        <w:tc>
          <w:tcPr>
            <w:tcW w:w="378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风险等级为A级的食品销售者</w:t>
            </w:r>
          </w:p>
        </w:tc>
        <w:tc>
          <w:tcPr>
            <w:tcW w:w="138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现场检查</w:t>
            </w:r>
          </w:p>
        </w:tc>
        <w:tc>
          <w:tcPr>
            <w:tcW w:w="75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w:t>
            </w:r>
          </w:p>
        </w:tc>
        <w:tc>
          <w:tcPr>
            <w:tcW w:w="224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2021年11月10日前</w:t>
            </w:r>
          </w:p>
        </w:tc>
      </w:tr>
      <w:tr>
        <w:tblPrEx>
          <w:shd w:val="clear" w:color="auto" w:fill="auto"/>
          <w:tblCellMar>
            <w:top w:w="0" w:type="dxa"/>
            <w:left w:w="0" w:type="dxa"/>
            <w:bottom w:w="0" w:type="dxa"/>
            <w:right w:w="0" w:type="dxa"/>
          </w:tblCellMar>
        </w:tblPrEx>
        <w:trPr>
          <w:trHeight w:val="758" w:hRule="atLeast"/>
        </w:trPr>
        <w:tc>
          <w:tcPr>
            <w:tcW w:w="666" w:type="dxa"/>
            <w:vMerge w:val="continue"/>
            <w:tcBorders>
              <w:top w:val="single" w:color="auto" w:sz="4" w:space="0"/>
              <w:left w:val="single" w:color="auto" w:sz="4" w:space="0"/>
              <w:bottom w:val="single" w:color="auto"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128" w:type="dxa"/>
            <w:vMerge w:val="continue"/>
            <w:tcBorders>
              <w:top w:val="single" w:color="auto"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536" w:type="dxa"/>
            <w:vMerge w:val="continue"/>
            <w:tcBorders>
              <w:top w:val="single" w:color="auto"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3096" w:type="dxa"/>
            <w:tcBorders>
              <w:top w:val="single" w:color="auto"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网络食品销售监督检查</w:t>
            </w:r>
          </w:p>
        </w:tc>
        <w:tc>
          <w:tcPr>
            <w:tcW w:w="3780" w:type="dxa"/>
            <w:tcBorders>
              <w:top w:val="single" w:color="auto"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网络食品交易第三方平台、入网食品销售者</w:t>
            </w:r>
          </w:p>
        </w:tc>
        <w:tc>
          <w:tcPr>
            <w:tcW w:w="1380" w:type="dxa"/>
            <w:tcBorders>
              <w:top w:val="single" w:color="auto"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现场检查、书面检查、网络检查</w:t>
            </w:r>
          </w:p>
        </w:tc>
        <w:tc>
          <w:tcPr>
            <w:tcW w:w="756" w:type="dxa"/>
            <w:tcBorders>
              <w:top w:val="single" w:color="auto"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w:t>
            </w:r>
          </w:p>
        </w:tc>
        <w:tc>
          <w:tcPr>
            <w:tcW w:w="2244" w:type="dxa"/>
            <w:tcBorders>
              <w:top w:val="single" w:color="auto"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2021年11月10日前</w:t>
            </w:r>
          </w:p>
        </w:tc>
      </w:tr>
      <w:tr>
        <w:tblPrEx>
          <w:shd w:val="clear" w:color="auto" w:fill="auto"/>
          <w:tblCellMar>
            <w:top w:w="0" w:type="dxa"/>
            <w:left w:w="0" w:type="dxa"/>
            <w:bottom w:w="0" w:type="dxa"/>
            <w:right w:w="0" w:type="dxa"/>
          </w:tblCellMar>
        </w:tblPrEx>
        <w:trPr>
          <w:trHeight w:val="90" w:hRule="atLeast"/>
        </w:trPr>
        <w:tc>
          <w:tcPr>
            <w:tcW w:w="666" w:type="dxa"/>
            <w:vMerge w:val="restart"/>
            <w:tcBorders>
              <w:top w:val="single" w:color="auto"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8</w:t>
            </w:r>
          </w:p>
        </w:tc>
        <w:tc>
          <w:tcPr>
            <w:tcW w:w="1128" w:type="dxa"/>
            <w:vMerge w:val="restart"/>
            <w:tcBorders>
              <w:top w:val="single" w:color="auto"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食品监管股</w:t>
            </w:r>
          </w:p>
        </w:tc>
        <w:tc>
          <w:tcPr>
            <w:tcW w:w="1536" w:type="dxa"/>
            <w:vMerge w:val="restart"/>
            <w:tcBorders>
              <w:top w:val="single" w:color="auto"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餐饮服务监督检查</w:t>
            </w:r>
          </w:p>
        </w:tc>
        <w:tc>
          <w:tcPr>
            <w:tcW w:w="30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食品经营许可情况的检查</w:t>
            </w:r>
          </w:p>
        </w:tc>
        <w:tc>
          <w:tcPr>
            <w:tcW w:w="37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餐饮服务经营者</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现场检查、</w:t>
            </w:r>
          </w:p>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书面检查</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w:t>
            </w:r>
          </w:p>
        </w:tc>
        <w:tc>
          <w:tcPr>
            <w:tcW w:w="22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2021年11月10日前</w:t>
            </w:r>
          </w:p>
        </w:tc>
      </w:tr>
      <w:tr>
        <w:tblPrEx>
          <w:shd w:val="clear" w:color="auto" w:fill="auto"/>
          <w:tblCellMar>
            <w:top w:w="0" w:type="dxa"/>
            <w:left w:w="0" w:type="dxa"/>
            <w:bottom w:w="0" w:type="dxa"/>
            <w:right w:w="0" w:type="dxa"/>
          </w:tblCellMar>
        </w:tblPrEx>
        <w:trPr>
          <w:trHeight w:val="780" w:hRule="atLeast"/>
        </w:trPr>
        <w:tc>
          <w:tcPr>
            <w:tcW w:w="666" w:type="dxa"/>
            <w:vMerge w:val="continue"/>
            <w:tcBorders>
              <w:top w:val="single" w:color="auto"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128" w:type="dxa"/>
            <w:vMerge w:val="continue"/>
            <w:tcBorders>
              <w:top w:val="single" w:color="auto"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536" w:type="dxa"/>
            <w:vMerge w:val="continue"/>
            <w:tcBorders>
              <w:top w:val="single" w:color="auto"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30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食品经营许可情况的检查</w:t>
            </w:r>
          </w:p>
        </w:tc>
        <w:tc>
          <w:tcPr>
            <w:tcW w:w="37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学校、托幼机构、养老机构等食堂</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现场检查</w:t>
            </w:r>
          </w:p>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书面检查</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w:t>
            </w:r>
          </w:p>
        </w:tc>
        <w:tc>
          <w:tcPr>
            <w:tcW w:w="22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2021年11月10日前</w:t>
            </w:r>
          </w:p>
        </w:tc>
      </w:tr>
      <w:tr>
        <w:tblPrEx>
          <w:shd w:val="clear" w:color="auto" w:fill="auto"/>
          <w:tblCellMar>
            <w:top w:w="0" w:type="dxa"/>
            <w:left w:w="0" w:type="dxa"/>
            <w:bottom w:w="0" w:type="dxa"/>
            <w:right w:w="0" w:type="dxa"/>
          </w:tblCellMar>
        </w:tblPrEx>
        <w:trPr>
          <w:trHeight w:val="722" w:hRule="atLeast"/>
        </w:trPr>
        <w:tc>
          <w:tcPr>
            <w:tcW w:w="666" w:type="dxa"/>
            <w:vMerge w:val="continue"/>
            <w:tcBorders>
              <w:top w:val="single" w:color="auto"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128" w:type="dxa"/>
            <w:vMerge w:val="continue"/>
            <w:tcBorders>
              <w:top w:val="single" w:color="auto"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536" w:type="dxa"/>
            <w:vMerge w:val="continue"/>
            <w:tcBorders>
              <w:top w:val="single" w:color="auto"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30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原料控制（含食品添加剂）情况的检查</w:t>
            </w:r>
          </w:p>
        </w:tc>
        <w:tc>
          <w:tcPr>
            <w:tcW w:w="37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餐饮服务经营者</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现场检查</w:t>
            </w:r>
          </w:p>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书面检查</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w:t>
            </w:r>
          </w:p>
        </w:tc>
        <w:tc>
          <w:tcPr>
            <w:tcW w:w="22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2021年11月10日前</w:t>
            </w:r>
          </w:p>
        </w:tc>
      </w:tr>
      <w:tr>
        <w:tblPrEx>
          <w:shd w:val="clear" w:color="auto" w:fill="auto"/>
          <w:tblCellMar>
            <w:top w:w="0" w:type="dxa"/>
            <w:left w:w="0" w:type="dxa"/>
            <w:bottom w:w="0" w:type="dxa"/>
            <w:right w:w="0" w:type="dxa"/>
          </w:tblCellMar>
        </w:tblPrEx>
        <w:trPr>
          <w:trHeight w:val="780" w:hRule="atLeast"/>
        </w:trPr>
        <w:tc>
          <w:tcPr>
            <w:tcW w:w="666" w:type="dxa"/>
            <w:vMerge w:val="continue"/>
            <w:tcBorders>
              <w:top w:val="single" w:color="auto"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128" w:type="dxa"/>
            <w:vMerge w:val="continue"/>
            <w:tcBorders>
              <w:top w:val="single" w:color="auto"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536" w:type="dxa"/>
            <w:vMerge w:val="continue"/>
            <w:tcBorders>
              <w:top w:val="single" w:color="auto"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30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原料控制（含食品添加剂）情况的检查</w:t>
            </w:r>
          </w:p>
        </w:tc>
        <w:tc>
          <w:tcPr>
            <w:tcW w:w="37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学校、托幼机构、养老机构等食堂</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现场检查</w:t>
            </w:r>
          </w:p>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书面检查</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w:t>
            </w:r>
          </w:p>
        </w:tc>
        <w:tc>
          <w:tcPr>
            <w:tcW w:w="22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2021年11月10日前</w:t>
            </w:r>
          </w:p>
        </w:tc>
      </w:tr>
      <w:tr>
        <w:tblPrEx>
          <w:shd w:val="clear" w:color="auto" w:fill="auto"/>
          <w:tblCellMar>
            <w:top w:w="0" w:type="dxa"/>
            <w:left w:w="0" w:type="dxa"/>
            <w:bottom w:w="0" w:type="dxa"/>
            <w:right w:w="0" w:type="dxa"/>
          </w:tblCellMar>
        </w:tblPrEx>
        <w:trPr>
          <w:trHeight w:val="602" w:hRule="atLeast"/>
        </w:trPr>
        <w:tc>
          <w:tcPr>
            <w:tcW w:w="666" w:type="dxa"/>
            <w:vMerge w:val="continue"/>
            <w:tcBorders>
              <w:top w:val="single" w:color="auto"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128" w:type="dxa"/>
            <w:vMerge w:val="continue"/>
            <w:tcBorders>
              <w:top w:val="single" w:color="auto"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536" w:type="dxa"/>
            <w:vMerge w:val="continue"/>
            <w:tcBorders>
              <w:top w:val="single" w:color="auto"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30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加工制作过程的检查</w:t>
            </w:r>
          </w:p>
        </w:tc>
        <w:tc>
          <w:tcPr>
            <w:tcW w:w="37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餐饮服务经营者</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现场检查</w:t>
            </w:r>
          </w:p>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书面检查</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w:t>
            </w:r>
          </w:p>
        </w:tc>
        <w:tc>
          <w:tcPr>
            <w:tcW w:w="22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2021年11月10日前</w:t>
            </w:r>
          </w:p>
        </w:tc>
      </w:tr>
      <w:tr>
        <w:tblPrEx>
          <w:shd w:val="clear" w:color="auto" w:fill="auto"/>
          <w:tblCellMar>
            <w:top w:w="0" w:type="dxa"/>
            <w:left w:w="0" w:type="dxa"/>
            <w:bottom w:w="0" w:type="dxa"/>
            <w:right w:w="0" w:type="dxa"/>
          </w:tblCellMar>
        </w:tblPrEx>
        <w:trPr>
          <w:trHeight w:val="674" w:hRule="atLeast"/>
        </w:trPr>
        <w:tc>
          <w:tcPr>
            <w:tcW w:w="666" w:type="dxa"/>
            <w:vMerge w:val="continue"/>
            <w:tcBorders>
              <w:top w:val="single" w:color="auto"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128" w:type="dxa"/>
            <w:vMerge w:val="continue"/>
            <w:tcBorders>
              <w:top w:val="single" w:color="auto"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536" w:type="dxa"/>
            <w:vMerge w:val="continue"/>
            <w:tcBorders>
              <w:top w:val="single" w:color="auto"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30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加工制作过程的检查</w:t>
            </w:r>
          </w:p>
        </w:tc>
        <w:tc>
          <w:tcPr>
            <w:tcW w:w="37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学校、托幼机构、养老机构等食堂</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现场检查</w:t>
            </w:r>
          </w:p>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书面检查</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w:t>
            </w:r>
          </w:p>
        </w:tc>
        <w:tc>
          <w:tcPr>
            <w:tcW w:w="22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2021年11月10日前</w:t>
            </w:r>
          </w:p>
        </w:tc>
      </w:tr>
      <w:tr>
        <w:tblPrEx>
          <w:shd w:val="clear" w:color="auto" w:fill="auto"/>
          <w:tblCellMar>
            <w:top w:w="0" w:type="dxa"/>
            <w:left w:w="0" w:type="dxa"/>
            <w:bottom w:w="0" w:type="dxa"/>
            <w:right w:w="0" w:type="dxa"/>
          </w:tblCellMar>
        </w:tblPrEx>
        <w:trPr>
          <w:trHeight w:val="650" w:hRule="atLeast"/>
        </w:trPr>
        <w:tc>
          <w:tcPr>
            <w:tcW w:w="666" w:type="dxa"/>
            <w:vMerge w:val="continue"/>
            <w:tcBorders>
              <w:top w:val="single" w:color="auto"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128" w:type="dxa"/>
            <w:vMerge w:val="continue"/>
            <w:tcBorders>
              <w:top w:val="single" w:color="auto"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536" w:type="dxa"/>
            <w:vMerge w:val="continue"/>
            <w:tcBorders>
              <w:top w:val="single" w:color="auto"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30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供餐、用餐与配送情况的检查</w:t>
            </w:r>
          </w:p>
        </w:tc>
        <w:tc>
          <w:tcPr>
            <w:tcW w:w="37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餐饮服务经营者</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现场检查</w:t>
            </w:r>
          </w:p>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书面检查</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w:t>
            </w:r>
          </w:p>
        </w:tc>
        <w:tc>
          <w:tcPr>
            <w:tcW w:w="22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2021年11月10日前</w:t>
            </w:r>
          </w:p>
        </w:tc>
      </w:tr>
      <w:tr>
        <w:tblPrEx>
          <w:shd w:val="clear" w:color="auto" w:fill="auto"/>
          <w:tblCellMar>
            <w:top w:w="0" w:type="dxa"/>
            <w:left w:w="0" w:type="dxa"/>
            <w:bottom w:w="0" w:type="dxa"/>
            <w:right w:w="0" w:type="dxa"/>
          </w:tblCellMar>
        </w:tblPrEx>
        <w:trPr>
          <w:trHeight w:val="650" w:hRule="atLeast"/>
        </w:trPr>
        <w:tc>
          <w:tcPr>
            <w:tcW w:w="666" w:type="dxa"/>
            <w:vMerge w:val="continue"/>
            <w:tcBorders>
              <w:top w:val="single" w:color="auto"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128" w:type="dxa"/>
            <w:vMerge w:val="continue"/>
            <w:tcBorders>
              <w:top w:val="single" w:color="auto"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536" w:type="dxa"/>
            <w:vMerge w:val="continue"/>
            <w:tcBorders>
              <w:top w:val="single" w:color="auto"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30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供餐、用餐与配送情况的检查</w:t>
            </w:r>
          </w:p>
        </w:tc>
        <w:tc>
          <w:tcPr>
            <w:tcW w:w="37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学校、托幼机构、养老机构等食堂</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现场检查</w:t>
            </w:r>
          </w:p>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书面检查</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w:t>
            </w:r>
          </w:p>
        </w:tc>
        <w:tc>
          <w:tcPr>
            <w:tcW w:w="22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2021年11月10日前</w:t>
            </w:r>
          </w:p>
        </w:tc>
      </w:tr>
      <w:tr>
        <w:tblPrEx>
          <w:shd w:val="clear" w:color="auto" w:fill="auto"/>
          <w:tblCellMar>
            <w:top w:w="0" w:type="dxa"/>
            <w:left w:w="0" w:type="dxa"/>
            <w:bottom w:w="0" w:type="dxa"/>
            <w:right w:w="0" w:type="dxa"/>
          </w:tblCellMar>
        </w:tblPrEx>
        <w:trPr>
          <w:trHeight w:val="602" w:hRule="atLeast"/>
        </w:trPr>
        <w:tc>
          <w:tcPr>
            <w:tcW w:w="666" w:type="dxa"/>
            <w:vMerge w:val="continue"/>
            <w:tcBorders>
              <w:top w:val="single" w:color="auto"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128" w:type="dxa"/>
            <w:vMerge w:val="continue"/>
            <w:tcBorders>
              <w:top w:val="single" w:color="auto"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536" w:type="dxa"/>
            <w:vMerge w:val="continue"/>
            <w:tcBorders>
              <w:top w:val="single" w:color="auto"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30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餐饮具清洗消毒情况的检查</w:t>
            </w:r>
          </w:p>
        </w:tc>
        <w:tc>
          <w:tcPr>
            <w:tcW w:w="37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餐饮服务经营者</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现场检查</w:t>
            </w:r>
          </w:p>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书面检查</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w:t>
            </w:r>
          </w:p>
        </w:tc>
        <w:tc>
          <w:tcPr>
            <w:tcW w:w="22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2021年11月10日前</w:t>
            </w:r>
          </w:p>
        </w:tc>
      </w:tr>
      <w:tr>
        <w:tblPrEx>
          <w:shd w:val="clear" w:color="auto" w:fill="auto"/>
          <w:tblCellMar>
            <w:top w:w="0" w:type="dxa"/>
            <w:left w:w="0" w:type="dxa"/>
            <w:bottom w:w="0" w:type="dxa"/>
            <w:right w:w="0" w:type="dxa"/>
          </w:tblCellMar>
        </w:tblPrEx>
        <w:trPr>
          <w:trHeight w:val="662" w:hRule="atLeast"/>
        </w:trPr>
        <w:tc>
          <w:tcPr>
            <w:tcW w:w="666" w:type="dxa"/>
            <w:vMerge w:val="continue"/>
            <w:tcBorders>
              <w:top w:val="single" w:color="auto"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128" w:type="dxa"/>
            <w:vMerge w:val="continue"/>
            <w:tcBorders>
              <w:top w:val="single" w:color="auto"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536" w:type="dxa"/>
            <w:vMerge w:val="continue"/>
            <w:tcBorders>
              <w:top w:val="single" w:color="auto"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30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餐饮具清洗消毒情况的检查</w:t>
            </w:r>
          </w:p>
        </w:tc>
        <w:tc>
          <w:tcPr>
            <w:tcW w:w="37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学校、托幼机构、养老机构等食堂</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现场检查</w:t>
            </w:r>
          </w:p>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书面检查</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w:t>
            </w:r>
          </w:p>
        </w:tc>
        <w:tc>
          <w:tcPr>
            <w:tcW w:w="22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2021年11月10日前</w:t>
            </w:r>
          </w:p>
        </w:tc>
      </w:tr>
      <w:tr>
        <w:tblPrEx>
          <w:shd w:val="clear" w:color="auto" w:fill="auto"/>
          <w:tblCellMar>
            <w:top w:w="0" w:type="dxa"/>
            <w:left w:w="0" w:type="dxa"/>
            <w:bottom w:w="0" w:type="dxa"/>
            <w:right w:w="0" w:type="dxa"/>
          </w:tblCellMar>
        </w:tblPrEx>
        <w:trPr>
          <w:trHeight w:val="662" w:hRule="atLeast"/>
        </w:trPr>
        <w:tc>
          <w:tcPr>
            <w:tcW w:w="666" w:type="dxa"/>
            <w:vMerge w:val="continue"/>
            <w:tcBorders>
              <w:top w:val="single" w:color="auto"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128" w:type="dxa"/>
            <w:vMerge w:val="continue"/>
            <w:tcBorders>
              <w:top w:val="single" w:color="auto"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536" w:type="dxa"/>
            <w:vMerge w:val="continue"/>
            <w:tcBorders>
              <w:top w:val="single" w:color="auto"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30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场所和设施清洁维护情况的检查</w:t>
            </w:r>
          </w:p>
        </w:tc>
        <w:tc>
          <w:tcPr>
            <w:tcW w:w="37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餐饮服务经营者</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现场检查</w:t>
            </w:r>
          </w:p>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书面检查</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w:t>
            </w:r>
          </w:p>
        </w:tc>
        <w:tc>
          <w:tcPr>
            <w:tcW w:w="22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2021年11月10日前</w:t>
            </w:r>
          </w:p>
        </w:tc>
      </w:tr>
      <w:tr>
        <w:tblPrEx>
          <w:shd w:val="clear" w:color="auto" w:fill="auto"/>
          <w:tblCellMar>
            <w:top w:w="0" w:type="dxa"/>
            <w:left w:w="0" w:type="dxa"/>
            <w:bottom w:w="0" w:type="dxa"/>
            <w:right w:w="0" w:type="dxa"/>
          </w:tblCellMar>
        </w:tblPrEx>
        <w:trPr>
          <w:trHeight w:val="650" w:hRule="atLeast"/>
        </w:trPr>
        <w:tc>
          <w:tcPr>
            <w:tcW w:w="666" w:type="dxa"/>
            <w:vMerge w:val="continue"/>
            <w:tcBorders>
              <w:top w:val="single" w:color="auto"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128" w:type="dxa"/>
            <w:vMerge w:val="continue"/>
            <w:tcBorders>
              <w:top w:val="single" w:color="auto"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536" w:type="dxa"/>
            <w:vMerge w:val="continue"/>
            <w:tcBorders>
              <w:top w:val="single" w:color="auto"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30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场所和设施清洁维护情况的检查</w:t>
            </w:r>
          </w:p>
        </w:tc>
        <w:tc>
          <w:tcPr>
            <w:tcW w:w="37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学校、托幼机构、养老机构等食堂</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现场检查</w:t>
            </w:r>
          </w:p>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书面检查</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w:t>
            </w:r>
          </w:p>
        </w:tc>
        <w:tc>
          <w:tcPr>
            <w:tcW w:w="22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2021年11月10日前</w:t>
            </w:r>
          </w:p>
        </w:tc>
      </w:tr>
      <w:tr>
        <w:tblPrEx>
          <w:shd w:val="clear" w:color="auto" w:fill="auto"/>
          <w:tblCellMar>
            <w:top w:w="0" w:type="dxa"/>
            <w:left w:w="0" w:type="dxa"/>
            <w:bottom w:w="0" w:type="dxa"/>
            <w:right w:w="0" w:type="dxa"/>
          </w:tblCellMar>
        </w:tblPrEx>
        <w:trPr>
          <w:trHeight w:val="662" w:hRule="atLeast"/>
        </w:trPr>
        <w:tc>
          <w:tcPr>
            <w:tcW w:w="666" w:type="dxa"/>
            <w:vMerge w:val="continue"/>
            <w:tcBorders>
              <w:top w:val="single" w:color="auto"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128" w:type="dxa"/>
            <w:vMerge w:val="continue"/>
            <w:tcBorders>
              <w:top w:val="single" w:color="auto"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536" w:type="dxa"/>
            <w:vMerge w:val="continue"/>
            <w:tcBorders>
              <w:top w:val="single" w:color="auto"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30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食品安全管理情况的检查</w:t>
            </w:r>
          </w:p>
        </w:tc>
        <w:tc>
          <w:tcPr>
            <w:tcW w:w="37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餐饮服务经营者</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现场检查</w:t>
            </w:r>
          </w:p>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书面检查</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w:t>
            </w:r>
          </w:p>
        </w:tc>
        <w:tc>
          <w:tcPr>
            <w:tcW w:w="22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2021年11月10日前</w:t>
            </w:r>
          </w:p>
        </w:tc>
      </w:tr>
      <w:tr>
        <w:tblPrEx>
          <w:shd w:val="clear" w:color="auto" w:fill="auto"/>
          <w:tblCellMar>
            <w:top w:w="0" w:type="dxa"/>
            <w:left w:w="0" w:type="dxa"/>
            <w:bottom w:w="0" w:type="dxa"/>
            <w:right w:w="0" w:type="dxa"/>
          </w:tblCellMar>
        </w:tblPrEx>
        <w:trPr>
          <w:trHeight w:val="638" w:hRule="atLeast"/>
        </w:trPr>
        <w:tc>
          <w:tcPr>
            <w:tcW w:w="666" w:type="dxa"/>
            <w:vMerge w:val="continue"/>
            <w:tcBorders>
              <w:top w:val="single" w:color="auto"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128" w:type="dxa"/>
            <w:vMerge w:val="continue"/>
            <w:tcBorders>
              <w:top w:val="single" w:color="auto"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536" w:type="dxa"/>
            <w:vMerge w:val="continue"/>
            <w:tcBorders>
              <w:top w:val="single" w:color="auto"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30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食品安全管理情况的检查</w:t>
            </w:r>
          </w:p>
        </w:tc>
        <w:tc>
          <w:tcPr>
            <w:tcW w:w="37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学校、托幼机构、养老机构等食堂</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现场检查</w:t>
            </w:r>
          </w:p>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书面检查</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w:t>
            </w:r>
          </w:p>
        </w:tc>
        <w:tc>
          <w:tcPr>
            <w:tcW w:w="22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2021年11月10日前</w:t>
            </w:r>
          </w:p>
        </w:tc>
      </w:tr>
      <w:tr>
        <w:tblPrEx>
          <w:shd w:val="clear" w:color="auto" w:fill="auto"/>
          <w:tblCellMar>
            <w:top w:w="0" w:type="dxa"/>
            <w:left w:w="0" w:type="dxa"/>
            <w:bottom w:w="0" w:type="dxa"/>
            <w:right w:w="0" w:type="dxa"/>
          </w:tblCellMar>
        </w:tblPrEx>
        <w:trPr>
          <w:trHeight w:val="638" w:hRule="atLeast"/>
        </w:trPr>
        <w:tc>
          <w:tcPr>
            <w:tcW w:w="666" w:type="dxa"/>
            <w:vMerge w:val="continue"/>
            <w:tcBorders>
              <w:top w:val="single" w:color="auto"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128" w:type="dxa"/>
            <w:vMerge w:val="continue"/>
            <w:tcBorders>
              <w:top w:val="single" w:color="auto"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536" w:type="dxa"/>
            <w:vMerge w:val="continue"/>
            <w:tcBorders>
              <w:top w:val="single" w:color="auto"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30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人员管理情况的检查</w:t>
            </w:r>
          </w:p>
        </w:tc>
        <w:tc>
          <w:tcPr>
            <w:tcW w:w="37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餐饮服务经营者</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现场检查</w:t>
            </w:r>
          </w:p>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书面检查</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w:t>
            </w:r>
          </w:p>
        </w:tc>
        <w:tc>
          <w:tcPr>
            <w:tcW w:w="22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2021年11月10日前</w:t>
            </w:r>
          </w:p>
        </w:tc>
      </w:tr>
      <w:tr>
        <w:tblPrEx>
          <w:shd w:val="clear" w:color="auto" w:fill="auto"/>
          <w:tblCellMar>
            <w:top w:w="0" w:type="dxa"/>
            <w:left w:w="0" w:type="dxa"/>
            <w:bottom w:w="0" w:type="dxa"/>
            <w:right w:w="0" w:type="dxa"/>
          </w:tblCellMar>
        </w:tblPrEx>
        <w:trPr>
          <w:trHeight w:val="650" w:hRule="atLeast"/>
        </w:trPr>
        <w:tc>
          <w:tcPr>
            <w:tcW w:w="666" w:type="dxa"/>
            <w:vMerge w:val="continue"/>
            <w:tcBorders>
              <w:top w:val="single" w:color="auto"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128" w:type="dxa"/>
            <w:vMerge w:val="continue"/>
            <w:tcBorders>
              <w:top w:val="single" w:color="auto"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536" w:type="dxa"/>
            <w:vMerge w:val="continue"/>
            <w:tcBorders>
              <w:top w:val="single" w:color="auto"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30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人员管理情况的检查</w:t>
            </w:r>
          </w:p>
        </w:tc>
        <w:tc>
          <w:tcPr>
            <w:tcW w:w="37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学校、托幼机构、养老机构等食堂</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现场检查</w:t>
            </w:r>
          </w:p>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书面检查</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w:t>
            </w:r>
          </w:p>
        </w:tc>
        <w:tc>
          <w:tcPr>
            <w:tcW w:w="22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2021年11月10日前</w:t>
            </w:r>
          </w:p>
        </w:tc>
      </w:tr>
      <w:tr>
        <w:tblPrEx>
          <w:shd w:val="clear" w:color="auto" w:fill="auto"/>
          <w:tblCellMar>
            <w:top w:w="0" w:type="dxa"/>
            <w:left w:w="0" w:type="dxa"/>
            <w:bottom w:w="0" w:type="dxa"/>
            <w:right w:w="0" w:type="dxa"/>
          </w:tblCellMar>
        </w:tblPrEx>
        <w:trPr>
          <w:trHeight w:val="698" w:hRule="atLeast"/>
        </w:trPr>
        <w:tc>
          <w:tcPr>
            <w:tcW w:w="666" w:type="dxa"/>
            <w:vMerge w:val="continue"/>
            <w:tcBorders>
              <w:top w:val="single" w:color="auto"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128" w:type="dxa"/>
            <w:vMerge w:val="continue"/>
            <w:tcBorders>
              <w:top w:val="single" w:color="auto"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536" w:type="dxa"/>
            <w:vMerge w:val="continue"/>
            <w:tcBorders>
              <w:top w:val="single" w:color="auto"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30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网络餐饮服务情况的检查</w:t>
            </w:r>
          </w:p>
        </w:tc>
        <w:tc>
          <w:tcPr>
            <w:tcW w:w="37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入网餐饮服务提供者、网络餐饮服务第三方平台</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网络检查、现场检查、书面检查</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w:t>
            </w:r>
          </w:p>
        </w:tc>
        <w:tc>
          <w:tcPr>
            <w:tcW w:w="22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2021年11月10日前</w:t>
            </w:r>
          </w:p>
        </w:tc>
      </w:tr>
      <w:tr>
        <w:tblPrEx>
          <w:shd w:val="clear" w:color="auto" w:fill="auto"/>
          <w:tblCellMar>
            <w:top w:w="0" w:type="dxa"/>
            <w:left w:w="0" w:type="dxa"/>
            <w:bottom w:w="0" w:type="dxa"/>
            <w:right w:w="0" w:type="dxa"/>
          </w:tblCellMar>
        </w:tblPrEx>
        <w:trPr>
          <w:trHeight w:val="674" w:hRule="atLeast"/>
        </w:trPr>
        <w:tc>
          <w:tcPr>
            <w:tcW w:w="666" w:type="dxa"/>
            <w:vMerge w:val="restart"/>
            <w:tcBorders>
              <w:top w:val="single" w:color="auto"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9</w:t>
            </w:r>
          </w:p>
        </w:tc>
        <w:tc>
          <w:tcPr>
            <w:tcW w:w="1128" w:type="dxa"/>
            <w:vMerge w:val="restart"/>
            <w:tcBorders>
              <w:top w:val="single" w:color="auto"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食品监管股</w:t>
            </w:r>
          </w:p>
        </w:tc>
        <w:tc>
          <w:tcPr>
            <w:tcW w:w="1536" w:type="dxa"/>
            <w:vMerge w:val="restart"/>
            <w:tcBorders>
              <w:top w:val="single" w:color="auto"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食用农产品市场销售质量安全检查</w:t>
            </w:r>
          </w:p>
        </w:tc>
        <w:tc>
          <w:tcPr>
            <w:tcW w:w="30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食用农产品集中交易市场监督检查</w:t>
            </w:r>
          </w:p>
        </w:tc>
        <w:tc>
          <w:tcPr>
            <w:tcW w:w="37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食用农产品集中交易市场（含批发市场和农贸市场）</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现场检查</w:t>
            </w:r>
          </w:p>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抽样检测</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w:t>
            </w:r>
          </w:p>
        </w:tc>
        <w:tc>
          <w:tcPr>
            <w:tcW w:w="22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2021年11月10日前</w:t>
            </w:r>
          </w:p>
        </w:tc>
      </w:tr>
      <w:tr>
        <w:tblPrEx>
          <w:shd w:val="clear" w:color="auto" w:fill="auto"/>
          <w:tblCellMar>
            <w:top w:w="0" w:type="dxa"/>
            <w:left w:w="0" w:type="dxa"/>
            <w:bottom w:w="0" w:type="dxa"/>
            <w:right w:w="0" w:type="dxa"/>
          </w:tblCellMar>
        </w:tblPrEx>
        <w:trPr>
          <w:trHeight w:val="698" w:hRule="atLeast"/>
        </w:trPr>
        <w:tc>
          <w:tcPr>
            <w:tcW w:w="666" w:type="dxa"/>
            <w:vMerge w:val="continue"/>
            <w:tcBorders>
              <w:top w:val="single" w:color="auto"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128" w:type="dxa"/>
            <w:vMerge w:val="continue"/>
            <w:tcBorders>
              <w:top w:val="single" w:color="auto"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536" w:type="dxa"/>
            <w:vMerge w:val="continue"/>
            <w:tcBorders>
              <w:top w:val="single" w:color="auto"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30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食用农产品销售企业（者）监督检查</w:t>
            </w:r>
          </w:p>
        </w:tc>
        <w:tc>
          <w:tcPr>
            <w:tcW w:w="37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食用农产品销售企业（含批发企业和零售企业）、其他销售者</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现场检查</w:t>
            </w:r>
          </w:p>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抽样检测</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w:t>
            </w:r>
          </w:p>
        </w:tc>
        <w:tc>
          <w:tcPr>
            <w:tcW w:w="22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2021年11月10日前</w:t>
            </w:r>
          </w:p>
        </w:tc>
      </w:tr>
      <w:tr>
        <w:tblPrEx>
          <w:shd w:val="clear" w:color="auto" w:fill="auto"/>
          <w:tblCellMar>
            <w:top w:w="0" w:type="dxa"/>
            <w:left w:w="0" w:type="dxa"/>
            <w:bottom w:w="0" w:type="dxa"/>
            <w:right w:w="0" w:type="dxa"/>
          </w:tblCellMar>
        </w:tblPrEx>
        <w:trPr>
          <w:trHeight w:val="638" w:hRule="atLeast"/>
        </w:trPr>
        <w:tc>
          <w:tcPr>
            <w:tcW w:w="666" w:type="dxa"/>
            <w:vMerge w:val="restart"/>
            <w:tcBorders>
              <w:top w:val="single" w:color="auto"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10</w:t>
            </w:r>
          </w:p>
        </w:tc>
        <w:tc>
          <w:tcPr>
            <w:tcW w:w="1128" w:type="dxa"/>
            <w:vMerge w:val="restart"/>
            <w:tcBorders>
              <w:top w:val="single" w:color="auto"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食品监管股</w:t>
            </w:r>
          </w:p>
        </w:tc>
        <w:tc>
          <w:tcPr>
            <w:tcW w:w="1536" w:type="dxa"/>
            <w:vMerge w:val="restart"/>
            <w:tcBorders>
              <w:top w:val="single" w:color="auto"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特殊食品销售监督检查</w:t>
            </w:r>
          </w:p>
        </w:tc>
        <w:tc>
          <w:tcPr>
            <w:tcW w:w="30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婴幼儿配方食品销售监督检查</w:t>
            </w:r>
          </w:p>
        </w:tc>
        <w:tc>
          <w:tcPr>
            <w:tcW w:w="37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婴幼儿配方食品销售者</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现场检查</w:t>
            </w:r>
          </w:p>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书面检查</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w:t>
            </w:r>
          </w:p>
        </w:tc>
        <w:tc>
          <w:tcPr>
            <w:tcW w:w="22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2021年11月10日前</w:t>
            </w:r>
          </w:p>
        </w:tc>
      </w:tr>
      <w:tr>
        <w:tblPrEx>
          <w:shd w:val="clear" w:color="auto" w:fill="auto"/>
          <w:tblCellMar>
            <w:top w:w="0" w:type="dxa"/>
            <w:left w:w="0" w:type="dxa"/>
            <w:bottom w:w="0" w:type="dxa"/>
            <w:right w:w="0" w:type="dxa"/>
          </w:tblCellMar>
        </w:tblPrEx>
        <w:trPr>
          <w:trHeight w:val="780" w:hRule="atLeast"/>
        </w:trPr>
        <w:tc>
          <w:tcPr>
            <w:tcW w:w="666" w:type="dxa"/>
            <w:vMerge w:val="continue"/>
            <w:tcBorders>
              <w:top w:val="single" w:color="auto"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128" w:type="dxa"/>
            <w:vMerge w:val="continue"/>
            <w:tcBorders>
              <w:top w:val="single" w:color="auto"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536" w:type="dxa"/>
            <w:vMerge w:val="continue"/>
            <w:tcBorders>
              <w:top w:val="single" w:color="auto"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30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特殊医学用途配方食品销售监督检查</w:t>
            </w:r>
          </w:p>
        </w:tc>
        <w:tc>
          <w:tcPr>
            <w:tcW w:w="37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特殊医学用途配方食品销售者</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现场检查</w:t>
            </w:r>
          </w:p>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书面检查</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w:t>
            </w:r>
          </w:p>
        </w:tc>
        <w:tc>
          <w:tcPr>
            <w:tcW w:w="22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2021年11月10日前</w:t>
            </w:r>
          </w:p>
        </w:tc>
      </w:tr>
      <w:tr>
        <w:tblPrEx>
          <w:shd w:val="clear" w:color="auto" w:fill="auto"/>
          <w:tblCellMar>
            <w:top w:w="0" w:type="dxa"/>
            <w:left w:w="0" w:type="dxa"/>
            <w:bottom w:w="0" w:type="dxa"/>
            <w:right w:w="0" w:type="dxa"/>
          </w:tblCellMar>
        </w:tblPrEx>
        <w:trPr>
          <w:trHeight w:val="780" w:hRule="atLeast"/>
        </w:trPr>
        <w:tc>
          <w:tcPr>
            <w:tcW w:w="666" w:type="dxa"/>
            <w:vMerge w:val="continue"/>
            <w:tcBorders>
              <w:top w:val="single" w:color="auto"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128" w:type="dxa"/>
            <w:vMerge w:val="continue"/>
            <w:tcBorders>
              <w:top w:val="single" w:color="auto"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536" w:type="dxa"/>
            <w:vMerge w:val="continue"/>
            <w:tcBorders>
              <w:top w:val="single" w:color="auto"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30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保健食品销售监督检查</w:t>
            </w:r>
          </w:p>
        </w:tc>
        <w:tc>
          <w:tcPr>
            <w:tcW w:w="37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保健食品销售者</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现场检查</w:t>
            </w:r>
          </w:p>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书面检查</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w:t>
            </w:r>
          </w:p>
        </w:tc>
        <w:tc>
          <w:tcPr>
            <w:tcW w:w="22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2021年11月10日前</w:t>
            </w:r>
          </w:p>
        </w:tc>
      </w:tr>
      <w:tr>
        <w:tblPrEx>
          <w:shd w:val="clear" w:color="auto" w:fill="auto"/>
          <w:tblCellMar>
            <w:top w:w="0" w:type="dxa"/>
            <w:left w:w="0" w:type="dxa"/>
            <w:bottom w:w="0" w:type="dxa"/>
            <w:right w:w="0" w:type="dxa"/>
          </w:tblCellMar>
        </w:tblPrEx>
        <w:trPr>
          <w:trHeight w:val="576" w:hRule="atLeast"/>
        </w:trPr>
        <w:tc>
          <w:tcPr>
            <w:tcW w:w="666" w:type="dxa"/>
            <w:tcBorders>
              <w:top w:val="single" w:color="auto"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11</w:t>
            </w:r>
          </w:p>
        </w:tc>
        <w:tc>
          <w:tcPr>
            <w:tcW w:w="1128" w:type="dxa"/>
            <w:tcBorders>
              <w:top w:val="single" w:color="auto"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食品监管股</w:t>
            </w:r>
          </w:p>
        </w:tc>
        <w:tc>
          <w:tcPr>
            <w:tcW w:w="1536" w:type="dxa"/>
            <w:tcBorders>
              <w:top w:val="single" w:color="auto"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食品安全监督抽检</w:t>
            </w:r>
          </w:p>
        </w:tc>
        <w:tc>
          <w:tcPr>
            <w:tcW w:w="30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食品安全监督抽检</w:t>
            </w:r>
          </w:p>
        </w:tc>
        <w:tc>
          <w:tcPr>
            <w:tcW w:w="37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市场在售食品</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抽样检验</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w:t>
            </w:r>
          </w:p>
        </w:tc>
        <w:tc>
          <w:tcPr>
            <w:tcW w:w="22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2021年11月10日前</w:t>
            </w:r>
          </w:p>
        </w:tc>
      </w:tr>
      <w:tr>
        <w:tblPrEx>
          <w:shd w:val="clear" w:color="auto" w:fill="auto"/>
          <w:tblCellMar>
            <w:top w:w="0" w:type="dxa"/>
            <w:left w:w="0" w:type="dxa"/>
            <w:bottom w:w="0" w:type="dxa"/>
            <w:right w:w="0" w:type="dxa"/>
          </w:tblCellMar>
        </w:tblPrEx>
        <w:trPr>
          <w:trHeight w:val="862" w:hRule="atLeast"/>
        </w:trPr>
        <w:tc>
          <w:tcPr>
            <w:tcW w:w="666" w:type="dxa"/>
            <w:tcBorders>
              <w:top w:val="single" w:color="000000"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12</w:t>
            </w:r>
          </w:p>
        </w:tc>
        <w:tc>
          <w:tcPr>
            <w:tcW w:w="1128" w:type="dxa"/>
            <w:tcBorders>
              <w:top w:val="single" w:color="000000"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特种设备股</w:t>
            </w:r>
          </w:p>
        </w:tc>
        <w:tc>
          <w:tcPr>
            <w:tcW w:w="1536" w:type="dxa"/>
            <w:tcBorders>
              <w:top w:val="single" w:color="000000"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特种设备使用单位监督检查</w:t>
            </w:r>
          </w:p>
        </w:tc>
        <w:tc>
          <w:tcPr>
            <w:tcW w:w="30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对特种设备使用单位的监督检查</w:t>
            </w:r>
          </w:p>
        </w:tc>
        <w:tc>
          <w:tcPr>
            <w:tcW w:w="37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特种设备使用单位</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现场检查、</w:t>
            </w:r>
          </w:p>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书面检查</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60%</w:t>
            </w:r>
          </w:p>
        </w:tc>
        <w:tc>
          <w:tcPr>
            <w:tcW w:w="22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2021年1月-10月</w:t>
            </w:r>
          </w:p>
        </w:tc>
      </w:tr>
      <w:tr>
        <w:tblPrEx>
          <w:shd w:val="clear" w:color="auto" w:fill="auto"/>
          <w:tblCellMar>
            <w:top w:w="0" w:type="dxa"/>
            <w:left w:w="0" w:type="dxa"/>
            <w:bottom w:w="0" w:type="dxa"/>
            <w:right w:w="0" w:type="dxa"/>
          </w:tblCellMar>
        </w:tblPrEx>
        <w:trPr>
          <w:trHeight w:val="620" w:hRule="atLeast"/>
        </w:trPr>
        <w:tc>
          <w:tcPr>
            <w:tcW w:w="666" w:type="dxa"/>
            <w:vMerge w:val="restar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13</w:t>
            </w:r>
          </w:p>
        </w:tc>
        <w:tc>
          <w:tcPr>
            <w:tcW w:w="1128" w:type="dxa"/>
            <w:vMerge w:val="restar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质监股</w:t>
            </w:r>
          </w:p>
        </w:tc>
        <w:tc>
          <w:tcPr>
            <w:tcW w:w="1536" w:type="dxa"/>
            <w:vMerge w:val="restar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工业产品生产许可证产品生产企业检查</w:t>
            </w:r>
          </w:p>
        </w:tc>
        <w:tc>
          <w:tcPr>
            <w:tcW w:w="3096" w:type="dxa"/>
            <w:tcBorders>
              <w:top w:val="single" w:color="000000" w:sz="4" w:space="0"/>
              <w:left w:val="single" w:color="auto"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工业产品生产许可证获证企业条件检查</w:t>
            </w:r>
          </w:p>
        </w:tc>
        <w:tc>
          <w:tcPr>
            <w:tcW w:w="37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企业、个体工商户</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现场检查</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50%</w:t>
            </w:r>
          </w:p>
        </w:tc>
        <w:tc>
          <w:tcPr>
            <w:tcW w:w="22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2021年3月-10月</w:t>
            </w:r>
          </w:p>
        </w:tc>
      </w:tr>
      <w:tr>
        <w:tblPrEx>
          <w:shd w:val="clear" w:color="auto" w:fill="auto"/>
          <w:tblCellMar>
            <w:top w:w="0" w:type="dxa"/>
            <w:left w:w="0" w:type="dxa"/>
            <w:bottom w:w="0" w:type="dxa"/>
            <w:right w:w="0" w:type="dxa"/>
          </w:tblCellMar>
        </w:tblPrEx>
        <w:trPr>
          <w:trHeight w:val="684" w:hRule="atLeast"/>
        </w:trPr>
        <w:tc>
          <w:tcPr>
            <w:tcW w:w="666" w:type="dxa"/>
            <w:vMerge w:val="continue"/>
            <w:tcBorders>
              <w:top w:val="single" w:color="auto" w:sz="4" w:space="0"/>
              <w:left w:val="single" w:color="auto" w:sz="4" w:space="0"/>
              <w:bottom w:val="single" w:color="auto"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128" w:type="dxa"/>
            <w:vMerge w:val="continue"/>
            <w:tcBorders>
              <w:top w:val="single" w:color="auto"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536" w:type="dxa"/>
            <w:vMerge w:val="continue"/>
            <w:tcBorders>
              <w:top w:val="single" w:color="auto" w:sz="4" w:space="0"/>
              <w:left w:val="single" w:color="000000"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3096" w:type="dxa"/>
            <w:tcBorders>
              <w:top w:val="single" w:color="000000" w:sz="4" w:space="0"/>
              <w:left w:val="single" w:color="auto"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工业产品生产许可资格检查</w:t>
            </w:r>
          </w:p>
        </w:tc>
        <w:tc>
          <w:tcPr>
            <w:tcW w:w="37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企业、个体工商户</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现场检查</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50%</w:t>
            </w:r>
          </w:p>
        </w:tc>
        <w:tc>
          <w:tcPr>
            <w:tcW w:w="22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2021年3月-10月</w:t>
            </w:r>
          </w:p>
        </w:tc>
      </w:tr>
      <w:tr>
        <w:tblPrEx>
          <w:shd w:val="clear" w:color="auto" w:fill="auto"/>
          <w:tblCellMar>
            <w:top w:w="0" w:type="dxa"/>
            <w:left w:w="0" w:type="dxa"/>
            <w:bottom w:w="0" w:type="dxa"/>
            <w:right w:w="0" w:type="dxa"/>
          </w:tblCellMar>
        </w:tblPrEx>
        <w:trPr>
          <w:trHeight w:val="686" w:hRule="atLeast"/>
        </w:trPr>
        <w:tc>
          <w:tcPr>
            <w:tcW w:w="666" w:type="dxa"/>
            <w:vMerge w:val="restart"/>
            <w:tcBorders>
              <w:top w:val="single" w:color="auto"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14</w:t>
            </w:r>
          </w:p>
        </w:tc>
        <w:tc>
          <w:tcPr>
            <w:tcW w:w="1128" w:type="dxa"/>
            <w:vMerge w:val="restart"/>
            <w:tcBorders>
              <w:top w:val="single" w:color="auto"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质监股</w:t>
            </w:r>
          </w:p>
        </w:tc>
        <w:tc>
          <w:tcPr>
            <w:tcW w:w="1536" w:type="dxa"/>
            <w:vMerge w:val="restart"/>
            <w:tcBorders>
              <w:top w:val="single" w:color="auto"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计量监督检查</w:t>
            </w:r>
          </w:p>
        </w:tc>
        <w:tc>
          <w:tcPr>
            <w:tcW w:w="30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在用计量器具监督检查</w:t>
            </w:r>
          </w:p>
        </w:tc>
        <w:tc>
          <w:tcPr>
            <w:tcW w:w="37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企业、事业单位、个体工商户及其他经营者</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现场检查</w:t>
            </w:r>
          </w:p>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抽样检测</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10%</w:t>
            </w:r>
          </w:p>
        </w:tc>
        <w:tc>
          <w:tcPr>
            <w:tcW w:w="22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2021年2月-10月</w:t>
            </w:r>
          </w:p>
        </w:tc>
      </w:tr>
      <w:tr>
        <w:tblPrEx>
          <w:shd w:val="clear" w:color="auto" w:fill="auto"/>
          <w:tblCellMar>
            <w:top w:w="0" w:type="dxa"/>
            <w:left w:w="0" w:type="dxa"/>
            <w:bottom w:w="0" w:type="dxa"/>
            <w:right w:w="0" w:type="dxa"/>
          </w:tblCellMar>
        </w:tblPrEx>
        <w:trPr>
          <w:trHeight w:val="674" w:hRule="atLeast"/>
        </w:trPr>
        <w:tc>
          <w:tcPr>
            <w:tcW w:w="666" w:type="dxa"/>
            <w:vMerge w:val="continue"/>
            <w:tcBorders>
              <w:top w:val="single" w:color="auto"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128" w:type="dxa"/>
            <w:vMerge w:val="continue"/>
            <w:tcBorders>
              <w:top w:val="single" w:color="auto"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536" w:type="dxa"/>
            <w:vMerge w:val="continue"/>
            <w:tcBorders>
              <w:top w:val="single" w:color="auto"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30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计量单位使用情况专项监督检查</w:t>
            </w:r>
          </w:p>
        </w:tc>
        <w:tc>
          <w:tcPr>
            <w:tcW w:w="37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宣传出版、文化教育、</w:t>
            </w:r>
          </w:p>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市场交易等领域</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现场检查</w:t>
            </w:r>
          </w:p>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书面检查</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50%</w:t>
            </w:r>
          </w:p>
        </w:tc>
        <w:tc>
          <w:tcPr>
            <w:tcW w:w="22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2021年2月-10月</w:t>
            </w:r>
          </w:p>
        </w:tc>
      </w:tr>
      <w:tr>
        <w:tblPrEx>
          <w:shd w:val="clear" w:color="auto" w:fill="auto"/>
          <w:tblCellMar>
            <w:top w:w="0" w:type="dxa"/>
            <w:left w:w="0" w:type="dxa"/>
            <w:bottom w:w="0" w:type="dxa"/>
            <w:right w:w="0" w:type="dxa"/>
          </w:tblCellMar>
        </w:tblPrEx>
        <w:trPr>
          <w:trHeight w:val="864" w:hRule="atLeast"/>
        </w:trPr>
        <w:tc>
          <w:tcPr>
            <w:tcW w:w="666" w:type="dxa"/>
            <w:tcBorders>
              <w:top w:val="single" w:color="auto"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15</w:t>
            </w:r>
          </w:p>
        </w:tc>
        <w:tc>
          <w:tcPr>
            <w:tcW w:w="1128" w:type="dxa"/>
            <w:tcBorders>
              <w:top w:val="single" w:color="auto"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价知股</w:t>
            </w:r>
          </w:p>
        </w:tc>
        <w:tc>
          <w:tcPr>
            <w:tcW w:w="1536" w:type="dxa"/>
            <w:tcBorders>
              <w:top w:val="single" w:color="auto"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价格行为检查</w:t>
            </w:r>
          </w:p>
        </w:tc>
        <w:tc>
          <w:tcPr>
            <w:tcW w:w="30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执行政府定价、政府指导价情况，明码标价情况及其他价格行为的检查</w:t>
            </w:r>
          </w:p>
        </w:tc>
        <w:tc>
          <w:tcPr>
            <w:tcW w:w="37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国家机关、事业单位和社会团体，《价格法》规定的经营者</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现场检查等</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w:t>
            </w:r>
          </w:p>
        </w:tc>
        <w:tc>
          <w:tcPr>
            <w:tcW w:w="22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2021年10月</w:t>
            </w:r>
          </w:p>
        </w:tc>
      </w:tr>
      <w:tr>
        <w:tblPrEx>
          <w:shd w:val="clear" w:color="auto" w:fill="auto"/>
          <w:tblCellMar>
            <w:top w:w="0" w:type="dxa"/>
            <w:left w:w="0" w:type="dxa"/>
            <w:bottom w:w="0" w:type="dxa"/>
            <w:right w:w="0" w:type="dxa"/>
          </w:tblCellMar>
        </w:tblPrEx>
        <w:trPr>
          <w:trHeight w:val="686" w:hRule="atLeast"/>
        </w:trPr>
        <w:tc>
          <w:tcPr>
            <w:tcW w:w="666"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16</w:t>
            </w:r>
          </w:p>
        </w:tc>
        <w:tc>
          <w:tcPr>
            <w:tcW w:w="1128"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价知股</w:t>
            </w:r>
          </w:p>
        </w:tc>
        <w:tc>
          <w:tcPr>
            <w:tcW w:w="1536"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专利真实性监督检查</w:t>
            </w:r>
          </w:p>
        </w:tc>
        <w:tc>
          <w:tcPr>
            <w:tcW w:w="30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专利证书、专利文件或专利申请文件真实性的检查</w:t>
            </w:r>
          </w:p>
        </w:tc>
        <w:tc>
          <w:tcPr>
            <w:tcW w:w="37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各类市场主体、产品</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现场检查</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w:t>
            </w:r>
          </w:p>
        </w:tc>
        <w:tc>
          <w:tcPr>
            <w:tcW w:w="224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2021年3月-10月</w:t>
            </w:r>
          </w:p>
        </w:tc>
      </w:tr>
      <w:tr>
        <w:tblPrEx>
          <w:shd w:val="clear" w:color="auto" w:fill="auto"/>
          <w:tblCellMar>
            <w:top w:w="0" w:type="dxa"/>
            <w:left w:w="0" w:type="dxa"/>
            <w:bottom w:w="0" w:type="dxa"/>
            <w:right w:w="0" w:type="dxa"/>
          </w:tblCellMar>
        </w:tblPrEx>
        <w:trPr>
          <w:trHeight w:val="496" w:hRule="atLeast"/>
        </w:trPr>
        <w:tc>
          <w:tcPr>
            <w:tcW w:w="66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12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5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30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产品专利宣传真实性的检查</w:t>
            </w:r>
          </w:p>
        </w:tc>
        <w:tc>
          <w:tcPr>
            <w:tcW w:w="37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各类市场主体</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现场检查</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w:t>
            </w:r>
          </w:p>
        </w:tc>
        <w:tc>
          <w:tcPr>
            <w:tcW w:w="22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shd w:val="clear" w:color="auto" w:fill="auto"/>
          <w:tblCellMar>
            <w:top w:w="0" w:type="dxa"/>
            <w:left w:w="0" w:type="dxa"/>
            <w:bottom w:w="0" w:type="dxa"/>
            <w:right w:w="0" w:type="dxa"/>
          </w:tblCellMar>
        </w:tblPrEx>
        <w:trPr>
          <w:trHeight w:val="592" w:hRule="atLeast"/>
        </w:trPr>
        <w:tc>
          <w:tcPr>
            <w:tcW w:w="666"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17</w:t>
            </w:r>
          </w:p>
        </w:tc>
        <w:tc>
          <w:tcPr>
            <w:tcW w:w="1128"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价知股</w:t>
            </w:r>
          </w:p>
        </w:tc>
        <w:tc>
          <w:tcPr>
            <w:tcW w:w="1536"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商标使用、代理行为的检查</w:t>
            </w:r>
          </w:p>
        </w:tc>
        <w:tc>
          <w:tcPr>
            <w:tcW w:w="30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商标使用行为的检查</w:t>
            </w:r>
          </w:p>
        </w:tc>
        <w:tc>
          <w:tcPr>
            <w:tcW w:w="37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企业、个体工商户、</w:t>
            </w:r>
          </w:p>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农民专业合作社</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现场抽查</w:t>
            </w:r>
          </w:p>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书面检查</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w:t>
            </w:r>
          </w:p>
        </w:tc>
        <w:tc>
          <w:tcPr>
            <w:tcW w:w="224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2021年10月</w:t>
            </w:r>
          </w:p>
        </w:tc>
      </w:tr>
      <w:tr>
        <w:tblPrEx>
          <w:shd w:val="clear" w:color="auto" w:fill="auto"/>
          <w:tblCellMar>
            <w:top w:w="0" w:type="dxa"/>
            <w:left w:w="0" w:type="dxa"/>
            <w:bottom w:w="0" w:type="dxa"/>
            <w:right w:w="0" w:type="dxa"/>
          </w:tblCellMar>
        </w:tblPrEx>
        <w:trPr>
          <w:trHeight w:val="878" w:hRule="atLeast"/>
        </w:trPr>
        <w:tc>
          <w:tcPr>
            <w:tcW w:w="66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12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5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30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集体商标、证明商标（含地理标志）使用行为的检查</w:t>
            </w:r>
          </w:p>
        </w:tc>
        <w:tc>
          <w:tcPr>
            <w:tcW w:w="37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企业、个体工商户、</w:t>
            </w:r>
          </w:p>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农民专业合作社</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现场抽查</w:t>
            </w:r>
          </w:p>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书面检查</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w:t>
            </w:r>
          </w:p>
        </w:tc>
        <w:tc>
          <w:tcPr>
            <w:tcW w:w="22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shd w:val="clear" w:color="auto" w:fill="auto"/>
          <w:tblCellMar>
            <w:top w:w="0" w:type="dxa"/>
            <w:left w:w="0" w:type="dxa"/>
            <w:bottom w:w="0" w:type="dxa"/>
            <w:right w:w="0" w:type="dxa"/>
          </w:tblCellMar>
        </w:tblPrEx>
        <w:trPr>
          <w:trHeight w:val="638" w:hRule="atLeast"/>
        </w:trPr>
        <w:tc>
          <w:tcPr>
            <w:tcW w:w="66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12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5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30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商标印制行为的检查</w:t>
            </w:r>
          </w:p>
        </w:tc>
        <w:tc>
          <w:tcPr>
            <w:tcW w:w="37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企业、个体工商户、</w:t>
            </w:r>
          </w:p>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农民专业合作社</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现场抽查</w:t>
            </w:r>
          </w:p>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书面检查</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w:t>
            </w:r>
          </w:p>
        </w:tc>
        <w:tc>
          <w:tcPr>
            <w:tcW w:w="22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shd w:val="clear" w:color="auto" w:fill="auto"/>
          <w:tblCellMar>
            <w:top w:w="0" w:type="dxa"/>
            <w:left w:w="0" w:type="dxa"/>
            <w:bottom w:w="0" w:type="dxa"/>
            <w:right w:w="0" w:type="dxa"/>
          </w:tblCellMar>
        </w:tblPrEx>
        <w:trPr>
          <w:trHeight w:val="628" w:hRule="atLeast"/>
        </w:trPr>
        <w:tc>
          <w:tcPr>
            <w:tcW w:w="66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12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5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30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商标代理行为的检查</w:t>
            </w:r>
          </w:p>
        </w:tc>
        <w:tc>
          <w:tcPr>
            <w:tcW w:w="37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经市场监管部门登记从事商标代理业务的服务机构（所）</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现场抽查</w:t>
            </w:r>
          </w:p>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书面检查</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w:t>
            </w:r>
          </w:p>
        </w:tc>
        <w:tc>
          <w:tcPr>
            <w:tcW w:w="22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shd w:val="clear" w:color="auto" w:fill="auto"/>
          <w:tblCellMar>
            <w:top w:w="0" w:type="dxa"/>
            <w:left w:w="0" w:type="dxa"/>
            <w:bottom w:w="0" w:type="dxa"/>
            <w:right w:w="0" w:type="dxa"/>
          </w:tblCellMar>
        </w:tblPrEx>
        <w:trPr>
          <w:trHeight w:val="618"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18</w:t>
            </w:r>
          </w:p>
        </w:tc>
        <w:tc>
          <w:tcPr>
            <w:tcW w:w="11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药械化股</w:t>
            </w:r>
          </w:p>
        </w:tc>
        <w:tc>
          <w:tcPr>
            <w:tcW w:w="15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疫苗“双随机、一公开”检查</w:t>
            </w:r>
          </w:p>
        </w:tc>
        <w:tc>
          <w:tcPr>
            <w:tcW w:w="30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疫苗双随机</w:t>
            </w:r>
          </w:p>
        </w:tc>
        <w:tc>
          <w:tcPr>
            <w:tcW w:w="37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医疗机构</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现场抽查</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30%</w:t>
            </w:r>
          </w:p>
        </w:tc>
        <w:tc>
          <w:tcPr>
            <w:tcW w:w="22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2021年8月</w:t>
            </w:r>
          </w:p>
        </w:tc>
      </w:tr>
      <w:tr>
        <w:tblPrEx>
          <w:shd w:val="clear" w:color="auto" w:fill="auto"/>
          <w:tblCellMar>
            <w:top w:w="0" w:type="dxa"/>
            <w:left w:w="0" w:type="dxa"/>
            <w:bottom w:w="0" w:type="dxa"/>
            <w:right w:w="0" w:type="dxa"/>
          </w:tblCellMar>
        </w:tblPrEx>
        <w:trPr>
          <w:trHeight w:val="1048"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19</w:t>
            </w:r>
          </w:p>
        </w:tc>
        <w:tc>
          <w:tcPr>
            <w:tcW w:w="11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药械化股</w:t>
            </w:r>
          </w:p>
        </w:tc>
        <w:tc>
          <w:tcPr>
            <w:tcW w:w="15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医疗机构药械安全“双随机、一公开”检查</w:t>
            </w:r>
          </w:p>
        </w:tc>
        <w:tc>
          <w:tcPr>
            <w:tcW w:w="30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医疗机构药械安全双随机</w:t>
            </w:r>
          </w:p>
        </w:tc>
        <w:tc>
          <w:tcPr>
            <w:tcW w:w="37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医疗机构药械安全双随机</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现场抽查</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5%</w:t>
            </w:r>
          </w:p>
        </w:tc>
        <w:tc>
          <w:tcPr>
            <w:tcW w:w="22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2021年4月</w:t>
            </w:r>
          </w:p>
        </w:tc>
      </w:tr>
      <w:tr>
        <w:tblPrEx>
          <w:tblCellMar>
            <w:top w:w="0" w:type="dxa"/>
            <w:left w:w="0" w:type="dxa"/>
            <w:bottom w:w="0" w:type="dxa"/>
            <w:right w:w="0" w:type="dxa"/>
          </w:tblCellMar>
        </w:tblPrEx>
        <w:trPr>
          <w:trHeight w:val="832"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w:t>
            </w:r>
          </w:p>
        </w:tc>
        <w:tc>
          <w:tcPr>
            <w:tcW w:w="11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药械化股</w:t>
            </w:r>
          </w:p>
        </w:tc>
        <w:tc>
          <w:tcPr>
            <w:tcW w:w="15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化妆品“双随机、一公开”检查</w:t>
            </w:r>
          </w:p>
        </w:tc>
        <w:tc>
          <w:tcPr>
            <w:tcW w:w="30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化妆品双随机</w:t>
            </w:r>
          </w:p>
        </w:tc>
        <w:tc>
          <w:tcPr>
            <w:tcW w:w="37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化妆品经营企业</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现场抽查</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15%</w:t>
            </w:r>
          </w:p>
        </w:tc>
        <w:tc>
          <w:tcPr>
            <w:tcW w:w="22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2021年10月</w:t>
            </w:r>
          </w:p>
        </w:tc>
      </w:tr>
      <w:tr>
        <w:tblPrEx>
          <w:tblCellMar>
            <w:top w:w="0" w:type="dxa"/>
            <w:left w:w="0" w:type="dxa"/>
            <w:bottom w:w="0" w:type="dxa"/>
            <w:right w:w="0" w:type="dxa"/>
          </w:tblCellMar>
        </w:tblPrEx>
        <w:trPr>
          <w:trHeight w:val="960"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21</w:t>
            </w:r>
          </w:p>
        </w:tc>
        <w:tc>
          <w:tcPr>
            <w:tcW w:w="11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药械化股</w:t>
            </w:r>
          </w:p>
        </w:tc>
        <w:tc>
          <w:tcPr>
            <w:tcW w:w="15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药品经营企业“双随机、一公开”检查</w:t>
            </w:r>
          </w:p>
        </w:tc>
        <w:tc>
          <w:tcPr>
            <w:tcW w:w="30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药品经营企业双随机</w:t>
            </w:r>
          </w:p>
        </w:tc>
        <w:tc>
          <w:tcPr>
            <w:tcW w:w="37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药品经营企业</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现场抽查</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15%</w:t>
            </w:r>
          </w:p>
        </w:tc>
        <w:tc>
          <w:tcPr>
            <w:tcW w:w="22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2021年6月</w:t>
            </w:r>
          </w:p>
        </w:tc>
      </w:tr>
    </w:tbl>
    <w:p>
      <w:pPr>
        <w:sectPr>
          <w:pgSz w:w="16838" w:h="11906" w:orient="landscape"/>
          <w:pgMar w:top="1800" w:right="1440" w:bottom="1800" w:left="1440" w:header="851" w:footer="992" w:gutter="0"/>
          <w:pgNumType w:fmt="numberInDash"/>
          <w:cols w:space="425" w:num="1"/>
          <w:docGrid w:type="lines" w:linePitch="312" w:charSpace="0"/>
        </w:sectPr>
      </w:pPr>
    </w:p>
    <w:p>
      <w:pPr>
        <w:pStyle w:val="2"/>
      </w:pPr>
      <w:r>
        <mc:AlternateContent>
          <mc:Choice Requires="wps">
            <w:drawing>
              <wp:anchor distT="0" distB="0" distL="114300" distR="114300" simplePos="0" relativeHeight="251659264" behindDoc="1" locked="1" layoutInCell="1" allowOverlap="0">
                <wp:simplePos x="0" y="0"/>
                <wp:positionH relativeFrom="margin">
                  <wp:posOffset>63500</wp:posOffset>
                </wp:positionH>
                <wp:positionV relativeFrom="margin">
                  <wp:posOffset>8368030</wp:posOffset>
                </wp:positionV>
                <wp:extent cx="5742305" cy="666750"/>
                <wp:effectExtent l="0" t="0" r="0" b="0"/>
                <wp:wrapTight wrapText="bothSides">
                  <wp:wrapPolygon>
                    <wp:start x="363" y="1646"/>
                    <wp:lineTo x="21239" y="1646"/>
                    <wp:lineTo x="21239" y="19975"/>
                    <wp:lineTo x="363" y="19975"/>
                    <wp:lineTo x="363" y="1646"/>
                  </wp:wrapPolygon>
                </wp:wrapTight>
                <wp:docPr id="3" name="文本框 3"/>
                <wp:cNvGraphicFramePr/>
                <a:graphic xmlns:a="http://schemas.openxmlformats.org/drawingml/2006/main">
                  <a:graphicData uri="http://schemas.microsoft.com/office/word/2010/wordprocessingShape">
                    <wps:wsp>
                      <wps:cNvSpPr txBox="1"/>
                      <wps:spPr>
                        <a:xfrm>
                          <a:off x="975995" y="9047480"/>
                          <a:ext cx="5742305" cy="666750"/>
                        </a:xfrm>
                        <a:prstGeom prst="rect">
                          <a:avLst/>
                        </a:prstGeom>
                        <a:noFill/>
                        <a:ln w="9525">
                          <a:noFill/>
                        </a:ln>
                        <a:effectLst/>
                      </wps:spPr>
                      <wps:txbx>
                        <w:txbxContent>
                          <w:p>
                            <w:pPr>
                              <w:spacing w:line="20" w:lineRule="exact"/>
                              <w:rPr>
                                <w:rFonts w:hint="eastAsia" w:ascii="仿宋_GB2312" w:hAnsi="宋体"/>
                                <w:sz w:val="28"/>
                              </w:rPr>
                            </w:pPr>
                            <w:r>
                              <w:rPr>
                                <w:rFonts w:hint="eastAsia" w:ascii="仿宋_GB2312" w:hAnsi="宋体"/>
                                <w:sz w:val="28"/>
                              </w:rPr>
                              <w:drawing>
                                <wp:inline distT="0" distB="0" distL="114300" distR="114300">
                                  <wp:extent cx="5524500" cy="9525"/>
                                  <wp:effectExtent l="0" t="0" r="0" b="0"/>
                                  <wp:docPr id="2" name="图片 2" descr="未命名"/>
                                  <wp:cNvGraphicFramePr/>
                                  <a:graphic xmlns:a="http://schemas.openxmlformats.org/drawingml/2006/main">
                                    <a:graphicData uri="http://schemas.openxmlformats.org/drawingml/2006/picture">
                                      <pic:pic xmlns:pic="http://schemas.openxmlformats.org/drawingml/2006/picture">
                                        <pic:nvPicPr>
                                          <pic:cNvPr id="2" name="图片 2" descr="未命名"/>
                                          <pic:cNvPicPr/>
                                        </pic:nvPicPr>
                                        <pic:blipFill>
                                          <a:blip r:embed="rId5"/>
                                          <a:stretch>
                                            <a:fillRect/>
                                          </a:stretch>
                                        </pic:blipFill>
                                        <pic:spPr>
                                          <a:xfrm>
                                            <a:off x="0" y="0"/>
                                            <a:ext cx="5524500" cy="9525"/>
                                          </a:xfrm>
                                          <a:prstGeom prst="rect">
                                            <a:avLst/>
                                          </a:prstGeom>
                                          <a:noFill/>
                                          <a:ln>
                                            <a:noFill/>
                                          </a:ln>
                                        </pic:spPr>
                                      </pic:pic>
                                    </a:graphicData>
                                  </a:graphic>
                                </wp:inline>
                              </w:drawing>
                            </w:r>
                          </w:p>
                          <w:p>
                            <w:pPr>
                              <w:ind w:firstLine="140" w:firstLineChars="50"/>
                              <w:rPr>
                                <w:rFonts w:hint="eastAsia" w:ascii="仿宋_GB2312" w:hAnsi="宋体" w:eastAsia="仿宋_GB2312"/>
                                <w:sz w:val="28"/>
                                <w:szCs w:val="32"/>
                              </w:rPr>
                            </w:pPr>
                            <w:r>
                              <w:rPr>
                                <w:rFonts w:hint="eastAsia" w:ascii="仿宋_GB2312" w:hAnsi="宋体" w:eastAsia="仿宋_GB2312"/>
                                <w:sz w:val="28"/>
                                <w:szCs w:val="32"/>
                              </w:rPr>
                              <w:t>广元市昭化区</w:t>
                            </w:r>
                            <w:r>
                              <w:rPr>
                                <w:rFonts w:hint="eastAsia" w:ascii="仿宋_GB2312" w:hAnsi="宋体" w:eastAsia="仿宋_GB2312"/>
                                <w:sz w:val="28"/>
                                <w:szCs w:val="32"/>
                                <w:lang w:eastAsia="zh-CN"/>
                              </w:rPr>
                              <w:t>市场监督管理局</w:t>
                            </w:r>
                            <w:r>
                              <w:rPr>
                                <w:rFonts w:hint="eastAsia" w:ascii="仿宋_GB2312" w:hAnsi="宋体" w:eastAsia="仿宋_GB2312"/>
                                <w:sz w:val="28"/>
                                <w:szCs w:val="32"/>
                              </w:rPr>
                              <w:t xml:space="preserve">办公室      </w:t>
                            </w:r>
                            <w:r>
                              <w:rPr>
                                <w:rFonts w:hint="eastAsia" w:ascii="仿宋_GB2312" w:hAnsi="宋体" w:eastAsia="仿宋_GB2312"/>
                                <w:sz w:val="28"/>
                                <w:szCs w:val="32"/>
                                <w:lang w:val="en-US" w:eastAsia="zh-CN"/>
                              </w:rPr>
                              <w:t xml:space="preserve">      </w:t>
                            </w:r>
                            <w:r>
                              <w:rPr>
                                <w:rFonts w:hint="eastAsia" w:ascii="仿宋_GB2312" w:hAnsi="宋体" w:eastAsia="仿宋_GB2312"/>
                                <w:sz w:val="28"/>
                                <w:szCs w:val="32"/>
                              </w:rPr>
                              <w:t>20</w:t>
                            </w:r>
                            <w:r>
                              <w:rPr>
                                <w:rFonts w:hint="eastAsia" w:ascii="仿宋_GB2312" w:hAnsi="宋体" w:eastAsia="仿宋_GB2312"/>
                                <w:sz w:val="28"/>
                                <w:szCs w:val="32"/>
                                <w:lang w:val="en-US" w:eastAsia="zh-CN"/>
                              </w:rPr>
                              <w:t>21</w:t>
                            </w:r>
                            <w:r>
                              <w:rPr>
                                <w:rFonts w:hint="eastAsia" w:ascii="仿宋_GB2312" w:hAnsi="宋体" w:eastAsia="仿宋_GB2312"/>
                                <w:sz w:val="28"/>
                                <w:szCs w:val="32"/>
                              </w:rPr>
                              <w:t>年</w:t>
                            </w:r>
                            <w:r>
                              <w:rPr>
                                <w:rFonts w:hint="eastAsia" w:ascii="仿宋_GB2312" w:hAnsi="宋体" w:eastAsia="仿宋_GB2312"/>
                                <w:sz w:val="28"/>
                                <w:szCs w:val="32"/>
                                <w:lang w:val="en-US" w:eastAsia="zh-CN"/>
                              </w:rPr>
                              <w:t>2</w:t>
                            </w:r>
                            <w:r>
                              <w:rPr>
                                <w:rFonts w:hint="eastAsia" w:ascii="仿宋_GB2312" w:hAnsi="宋体" w:eastAsia="仿宋_GB2312"/>
                                <w:sz w:val="28"/>
                                <w:szCs w:val="32"/>
                              </w:rPr>
                              <w:t>月</w:t>
                            </w:r>
                            <w:r>
                              <w:rPr>
                                <w:rFonts w:hint="eastAsia" w:ascii="仿宋_GB2312" w:hAnsi="宋体" w:eastAsia="仿宋_GB2312"/>
                                <w:sz w:val="28"/>
                                <w:szCs w:val="32"/>
                                <w:lang w:val="en-US" w:eastAsia="zh-CN"/>
                              </w:rPr>
                              <w:t>2</w:t>
                            </w:r>
                            <w:r>
                              <w:rPr>
                                <w:rFonts w:hint="eastAsia" w:ascii="仿宋_GB2312" w:hAnsi="宋体" w:eastAsia="仿宋_GB2312"/>
                                <w:sz w:val="28"/>
                                <w:szCs w:val="32"/>
                              </w:rPr>
                              <w:t xml:space="preserve">日印  </w:t>
                            </w:r>
                          </w:p>
                          <w:p>
                            <w:pPr>
                              <w:spacing w:line="20" w:lineRule="exact"/>
                              <w:rPr>
                                <w:rFonts w:hint="eastAsia" w:ascii="仿宋_GB2312" w:hAnsi="宋体"/>
                              </w:rPr>
                            </w:pPr>
                            <w:r>
                              <w:rPr>
                                <w:rFonts w:hint="eastAsia" w:ascii="仿宋_GB2312" w:hAnsi="宋体"/>
                              </w:rPr>
                              <w:drawing>
                                <wp:inline distT="0" distB="0" distL="114300" distR="114300">
                                  <wp:extent cx="5524500" cy="9525"/>
                                  <wp:effectExtent l="0" t="0" r="0" b="0"/>
                                  <wp:docPr id="4" name="图片 3" descr="未命名"/>
                                  <wp:cNvGraphicFramePr/>
                                  <a:graphic xmlns:a="http://schemas.openxmlformats.org/drawingml/2006/main">
                                    <a:graphicData uri="http://schemas.openxmlformats.org/drawingml/2006/picture">
                                      <pic:pic xmlns:pic="http://schemas.openxmlformats.org/drawingml/2006/picture">
                                        <pic:nvPicPr>
                                          <pic:cNvPr id="4" name="图片 3" descr="未命名"/>
                                          <pic:cNvPicPr/>
                                        </pic:nvPicPr>
                                        <pic:blipFill>
                                          <a:blip r:embed="rId5"/>
                                          <a:stretch>
                                            <a:fillRect/>
                                          </a:stretch>
                                        </pic:blipFill>
                                        <pic:spPr>
                                          <a:xfrm>
                                            <a:off x="0" y="0"/>
                                            <a:ext cx="5524500" cy="9525"/>
                                          </a:xfrm>
                                          <a:prstGeom prst="rect">
                                            <a:avLst/>
                                          </a:prstGeom>
                                          <a:noFill/>
                                          <a:ln>
                                            <a:noFill/>
                                          </a:ln>
                                        </pic:spPr>
                                      </pic:pic>
                                    </a:graphicData>
                                  </a:graphic>
                                </wp:inline>
                              </w:drawing>
                            </w:r>
                          </w:p>
                          <w:p>
                            <w:pPr>
                              <w:wordWrap w:val="0"/>
                              <w:ind w:right="508" w:rightChars="242"/>
                              <w:jc w:val="right"/>
                              <w:rPr>
                                <w:rFonts w:hint="eastAsia" w:ascii="仿宋_GB2312" w:hAnsi="宋体"/>
                                <w:szCs w:val="32"/>
                              </w:rPr>
                            </w:pPr>
                          </w:p>
                        </w:txbxContent>
                      </wps:txbx>
                      <wps:bodyPr vert="horz" anchor="t" upright="1"/>
                    </wps:wsp>
                  </a:graphicData>
                </a:graphic>
              </wp:anchor>
            </w:drawing>
          </mc:Choice>
          <mc:Fallback>
            <w:pict>
              <v:shape id="_x0000_s1026" o:spid="_x0000_s1026" o:spt="202" type="#_x0000_t202" style="position:absolute;left:0pt;margin-left:5pt;margin-top:658.9pt;height:52.5pt;width:452.15pt;mso-position-horizontal-relative:margin;mso-position-vertical-relative:margin;mso-wrap-distance-left:9pt;mso-wrap-distance-right:9pt;z-index:-251657216;mso-width-relative:page;mso-height-relative:page;" filled="f" stroked="f" coordsize="21600,21600" wrapcoords="363 1646 21239 1646 21239 19975 363 19975 363 1646" o:allowoverlap="f" o:gfxdata="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NlynYXZAAAADAEAAA8AAAAAAAAAAQAg&#10;AAAAIgAAAGRycy9kb3ducmV2LnhtbFBLAQIUABQAAAAIAIdO4kCnOhLR1AEAAIcDAAAOAAAAAAAA&#10;AAEAIAAAACgBAABkcnMvZTJvRG9jLnhtbFBLBQYAAAAABgAGAFkBAABuBQAAAAA=&#10;">
                <v:fill on="f" focussize="0,0"/>
                <v:stroke on="f"/>
                <v:imagedata o:title=""/>
                <o:lock v:ext="edit" aspectratio="f"/>
                <v:textbox>
                  <w:txbxContent>
                    <w:p>
                      <w:pPr>
                        <w:spacing w:line="20" w:lineRule="exact"/>
                        <w:rPr>
                          <w:rFonts w:hint="eastAsia" w:ascii="仿宋_GB2312" w:hAnsi="宋体"/>
                          <w:sz w:val="28"/>
                        </w:rPr>
                      </w:pPr>
                      <w:r>
                        <w:rPr>
                          <w:rFonts w:hint="eastAsia" w:ascii="仿宋_GB2312" w:hAnsi="宋体"/>
                          <w:sz w:val="28"/>
                        </w:rPr>
                        <w:drawing>
                          <wp:inline distT="0" distB="0" distL="114300" distR="114300">
                            <wp:extent cx="5524500" cy="9525"/>
                            <wp:effectExtent l="0" t="0" r="0" b="0"/>
                            <wp:docPr id="2" name="图片 2" descr="未命名"/>
                            <wp:cNvGraphicFramePr/>
                            <a:graphic xmlns:a="http://schemas.openxmlformats.org/drawingml/2006/main">
                              <a:graphicData uri="http://schemas.openxmlformats.org/drawingml/2006/picture">
                                <pic:pic xmlns:pic="http://schemas.openxmlformats.org/drawingml/2006/picture">
                                  <pic:nvPicPr>
                                    <pic:cNvPr id="2" name="图片 2" descr="未命名"/>
                                    <pic:cNvPicPr/>
                                  </pic:nvPicPr>
                                  <pic:blipFill>
                                    <a:blip r:embed="rId5"/>
                                    <a:stretch>
                                      <a:fillRect/>
                                    </a:stretch>
                                  </pic:blipFill>
                                  <pic:spPr>
                                    <a:xfrm>
                                      <a:off x="0" y="0"/>
                                      <a:ext cx="5524500" cy="9525"/>
                                    </a:xfrm>
                                    <a:prstGeom prst="rect">
                                      <a:avLst/>
                                    </a:prstGeom>
                                    <a:noFill/>
                                    <a:ln>
                                      <a:noFill/>
                                    </a:ln>
                                  </pic:spPr>
                                </pic:pic>
                              </a:graphicData>
                            </a:graphic>
                          </wp:inline>
                        </w:drawing>
                      </w:r>
                    </w:p>
                    <w:p>
                      <w:pPr>
                        <w:ind w:firstLine="140" w:firstLineChars="50"/>
                        <w:rPr>
                          <w:rFonts w:hint="eastAsia" w:ascii="仿宋_GB2312" w:hAnsi="宋体" w:eastAsia="仿宋_GB2312"/>
                          <w:sz w:val="28"/>
                          <w:szCs w:val="32"/>
                        </w:rPr>
                      </w:pPr>
                      <w:r>
                        <w:rPr>
                          <w:rFonts w:hint="eastAsia" w:ascii="仿宋_GB2312" w:hAnsi="宋体" w:eastAsia="仿宋_GB2312"/>
                          <w:sz w:val="28"/>
                          <w:szCs w:val="32"/>
                        </w:rPr>
                        <w:t>广元市昭化区</w:t>
                      </w:r>
                      <w:r>
                        <w:rPr>
                          <w:rFonts w:hint="eastAsia" w:ascii="仿宋_GB2312" w:hAnsi="宋体" w:eastAsia="仿宋_GB2312"/>
                          <w:sz w:val="28"/>
                          <w:szCs w:val="32"/>
                          <w:lang w:eastAsia="zh-CN"/>
                        </w:rPr>
                        <w:t>市场监督管理局</w:t>
                      </w:r>
                      <w:r>
                        <w:rPr>
                          <w:rFonts w:hint="eastAsia" w:ascii="仿宋_GB2312" w:hAnsi="宋体" w:eastAsia="仿宋_GB2312"/>
                          <w:sz w:val="28"/>
                          <w:szCs w:val="32"/>
                        </w:rPr>
                        <w:t xml:space="preserve">办公室      </w:t>
                      </w:r>
                      <w:r>
                        <w:rPr>
                          <w:rFonts w:hint="eastAsia" w:ascii="仿宋_GB2312" w:hAnsi="宋体" w:eastAsia="仿宋_GB2312"/>
                          <w:sz w:val="28"/>
                          <w:szCs w:val="32"/>
                          <w:lang w:val="en-US" w:eastAsia="zh-CN"/>
                        </w:rPr>
                        <w:t xml:space="preserve">      </w:t>
                      </w:r>
                      <w:r>
                        <w:rPr>
                          <w:rFonts w:hint="eastAsia" w:ascii="仿宋_GB2312" w:hAnsi="宋体" w:eastAsia="仿宋_GB2312"/>
                          <w:sz w:val="28"/>
                          <w:szCs w:val="32"/>
                        </w:rPr>
                        <w:t>20</w:t>
                      </w:r>
                      <w:r>
                        <w:rPr>
                          <w:rFonts w:hint="eastAsia" w:ascii="仿宋_GB2312" w:hAnsi="宋体" w:eastAsia="仿宋_GB2312"/>
                          <w:sz w:val="28"/>
                          <w:szCs w:val="32"/>
                          <w:lang w:val="en-US" w:eastAsia="zh-CN"/>
                        </w:rPr>
                        <w:t>21</w:t>
                      </w:r>
                      <w:r>
                        <w:rPr>
                          <w:rFonts w:hint="eastAsia" w:ascii="仿宋_GB2312" w:hAnsi="宋体" w:eastAsia="仿宋_GB2312"/>
                          <w:sz w:val="28"/>
                          <w:szCs w:val="32"/>
                        </w:rPr>
                        <w:t>年</w:t>
                      </w:r>
                      <w:r>
                        <w:rPr>
                          <w:rFonts w:hint="eastAsia" w:ascii="仿宋_GB2312" w:hAnsi="宋体" w:eastAsia="仿宋_GB2312"/>
                          <w:sz w:val="28"/>
                          <w:szCs w:val="32"/>
                          <w:lang w:val="en-US" w:eastAsia="zh-CN"/>
                        </w:rPr>
                        <w:t>2</w:t>
                      </w:r>
                      <w:r>
                        <w:rPr>
                          <w:rFonts w:hint="eastAsia" w:ascii="仿宋_GB2312" w:hAnsi="宋体" w:eastAsia="仿宋_GB2312"/>
                          <w:sz w:val="28"/>
                          <w:szCs w:val="32"/>
                        </w:rPr>
                        <w:t>月</w:t>
                      </w:r>
                      <w:r>
                        <w:rPr>
                          <w:rFonts w:hint="eastAsia" w:ascii="仿宋_GB2312" w:hAnsi="宋体" w:eastAsia="仿宋_GB2312"/>
                          <w:sz w:val="28"/>
                          <w:szCs w:val="32"/>
                          <w:lang w:val="en-US" w:eastAsia="zh-CN"/>
                        </w:rPr>
                        <w:t>2</w:t>
                      </w:r>
                      <w:r>
                        <w:rPr>
                          <w:rFonts w:hint="eastAsia" w:ascii="仿宋_GB2312" w:hAnsi="宋体" w:eastAsia="仿宋_GB2312"/>
                          <w:sz w:val="28"/>
                          <w:szCs w:val="32"/>
                        </w:rPr>
                        <w:t xml:space="preserve">日印  </w:t>
                      </w:r>
                    </w:p>
                    <w:p>
                      <w:pPr>
                        <w:spacing w:line="20" w:lineRule="exact"/>
                        <w:rPr>
                          <w:rFonts w:hint="eastAsia" w:ascii="仿宋_GB2312" w:hAnsi="宋体"/>
                        </w:rPr>
                      </w:pPr>
                      <w:r>
                        <w:rPr>
                          <w:rFonts w:hint="eastAsia" w:ascii="仿宋_GB2312" w:hAnsi="宋体"/>
                        </w:rPr>
                        <w:drawing>
                          <wp:inline distT="0" distB="0" distL="114300" distR="114300">
                            <wp:extent cx="5524500" cy="9525"/>
                            <wp:effectExtent l="0" t="0" r="0" b="0"/>
                            <wp:docPr id="4" name="图片 3" descr="未命名"/>
                            <wp:cNvGraphicFramePr/>
                            <a:graphic xmlns:a="http://schemas.openxmlformats.org/drawingml/2006/main">
                              <a:graphicData uri="http://schemas.openxmlformats.org/drawingml/2006/picture">
                                <pic:pic xmlns:pic="http://schemas.openxmlformats.org/drawingml/2006/picture">
                                  <pic:nvPicPr>
                                    <pic:cNvPr id="4" name="图片 3" descr="未命名"/>
                                    <pic:cNvPicPr/>
                                  </pic:nvPicPr>
                                  <pic:blipFill>
                                    <a:blip r:embed="rId5"/>
                                    <a:stretch>
                                      <a:fillRect/>
                                    </a:stretch>
                                  </pic:blipFill>
                                  <pic:spPr>
                                    <a:xfrm>
                                      <a:off x="0" y="0"/>
                                      <a:ext cx="5524500" cy="9525"/>
                                    </a:xfrm>
                                    <a:prstGeom prst="rect">
                                      <a:avLst/>
                                    </a:prstGeom>
                                    <a:noFill/>
                                    <a:ln>
                                      <a:noFill/>
                                    </a:ln>
                                  </pic:spPr>
                                </pic:pic>
                              </a:graphicData>
                            </a:graphic>
                          </wp:inline>
                        </w:drawing>
                      </w:r>
                    </w:p>
                    <w:p>
                      <w:pPr>
                        <w:wordWrap w:val="0"/>
                        <w:ind w:right="508" w:rightChars="242"/>
                        <w:jc w:val="right"/>
                        <w:rPr>
                          <w:rFonts w:hint="eastAsia" w:ascii="仿宋_GB2312" w:hAnsi="宋体"/>
                          <w:szCs w:val="32"/>
                        </w:rPr>
                      </w:pPr>
                    </w:p>
                  </w:txbxContent>
                </v:textbox>
                <w10:wrap type="tight"/>
                <w10:anchorlock/>
              </v:shape>
            </w:pict>
          </mc:Fallback>
        </mc:AlternateContent>
      </w:r>
    </w:p>
    <w:p>
      <w:pPr>
        <w:pStyle w:val="2"/>
      </w:pPr>
    </w:p>
    <w:sectPr>
      <w:pgSz w:w="11906" w:h="16838"/>
      <w:pgMar w:top="1440" w:right="1800" w:bottom="1440" w:left="1800"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Arial Unicode MS"/>
    <w:panose1 w:val="02010601030101010101"/>
    <w:charset w:val="86"/>
    <w:family w:val="auto"/>
    <w:pitch w:val="default"/>
    <w:sig w:usb0="00000000" w:usb1="00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VhYTg4NGNkZWJkODFjNzcyZDRjM2M4Y2UzNjI5ZmUifQ=="/>
  </w:docVars>
  <w:rsids>
    <w:rsidRoot w:val="3D0E226F"/>
    <w:rsid w:val="01161B91"/>
    <w:rsid w:val="029C020F"/>
    <w:rsid w:val="04D413F5"/>
    <w:rsid w:val="07FF4EC2"/>
    <w:rsid w:val="0871149E"/>
    <w:rsid w:val="090C61B5"/>
    <w:rsid w:val="0B6E7AB8"/>
    <w:rsid w:val="0BD71061"/>
    <w:rsid w:val="10796737"/>
    <w:rsid w:val="108715DB"/>
    <w:rsid w:val="12A67ACB"/>
    <w:rsid w:val="12FE3C3D"/>
    <w:rsid w:val="14247979"/>
    <w:rsid w:val="18EA75EB"/>
    <w:rsid w:val="18FD4420"/>
    <w:rsid w:val="194D7E88"/>
    <w:rsid w:val="1BEC6A29"/>
    <w:rsid w:val="1FF74505"/>
    <w:rsid w:val="203D5EFD"/>
    <w:rsid w:val="20A762AB"/>
    <w:rsid w:val="23032907"/>
    <w:rsid w:val="234C0415"/>
    <w:rsid w:val="2509732A"/>
    <w:rsid w:val="2AC11389"/>
    <w:rsid w:val="2C165F7F"/>
    <w:rsid w:val="2D2D51C3"/>
    <w:rsid w:val="2E980DA6"/>
    <w:rsid w:val="2F297DC8"/>
    <w:rsid w:val="36057560"/>
    <w:rsid w:val="39862373"/>
    <w:rsid w:val="3A8C271E"/>
    <w:rsid w:val="3CC01160"/>
    <w:rsid w:val="3D0E226F"/>
    <w:rsid w:val="3DF63D54"/>
    <w:rsid w:val="3F914472"/>
    <w:rsid w:val="40076B70"/>
    <w:rsid w:val="408751E4"/>
    <w:rsid w:val="42023764"/>
    <w:rsid w:val="425E4530"/>
    <w:rsid w:val="426E095D"/>
    <w:rsid w:val="42795BF9"/>
    <w:rsid w:val="42AB6F36"/>
    <w:rsid w:val="43172A56"/>
    <w:rsid w:val="4334362F"/>
    <w:rsid w:val="4587738A"/>
    <w:rsid w:val="46A93198"/>
    <w:rsid w:val="46BF36B8"/>
    <w:rsid w:val="49A764B3"/>
    <w:rsid w:val="49B74633"/>
    <w:rsid w:val="49D1469B"/>
    <w:rsid w:val="50873D1E"/>
    <w:rsid w:val="54F66D93"/>
    <w:rsid w:val="56042738"/>
    <w:rsid w:val="570E0833"/>
    <w:rsid w:val="59143D48"/>
    <w:rsid w:val="5A265770"/>
    <w:rsid w:val="5A7114EE"/>
    <w:rsid w:val="5B982FC2"/>
    <w:rsid w:val="5CF25B7A"/>
    <w:rsid w:val="5D4B1FFD"/>
    <w:rsid w:val="5E4342A3"/>
    <w:rsid w:val="5FFB52F0"/>
    <w:rsid w:val="60C61B97"/>
    <w:rsid w:val="61950E0D"/>
    <w:rsid w:val="61A46FDB"/>
    <w:rsid w:val="645136CC"/>
    <w:rsid w:val="65793AE7"/>
    <w:rsid w:val="66420D46"/>
    <w:rsid w:val="668552C9"/>
    <w:rsid w:val="6A076B60"/>
    <w:rsid w:val="6ABC4467"/>
    <w:rsid w:val="6ACB51D2"/>
    <w:rsid w:val="702622BD"/>
    <w:rsid w:val="70341CA9"/>
    <w:rsid w:val="707B15FB"/>
    <w:rsid w:val="71A86AE1"/>
    <w:rsid w:val="723418B3"/>
    <w:rsid w:val="750B69A4"/>
    <w:rsid w:val="75B64CBA"/>
    <w:rsid w:val="782E3F89"/>
    <w:rsid w:val="79466FA7"/>
    <w:rsid w:val="7A3B1E06"/>
    <w:rsid w:val="7A5E6112"/>
    <w:rsid w:val="7B2A65E2"/>
    <w:rsid w:val="7B85393A"/>
    <w:rsid w:val="7CAE6F35"/>
    <w:rsid w:val="7CF73C53"/>
    <w:rsid w:val="7E436D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spacing w:after="120"/>
      <w:ind w:left="420" w:leftChars="200" w:firstLine="420"/>
    </w:pPr>
  </w:style>
  <w:style w:type="paragraph" w:styleId="3">
    <w:name w:val="Body Text Indent"/>
    <w:basedOn w:val="1"/>
    <w:qFormat/>
    <w:uiPriority w:val="0"/>
    <w:pPr>
      <w:ind w:firstLine="630"/>
      <w:jc w:val="left"/>
    </w:pPr>
    <w:rPr>
      <w:rFonts w:eastAsia="黑体" w:cs="Times New Roman"/>
      <w:sz w:val="32"/>
      <w:szCs w:val="32"/>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rPr>
      <w:sz w:val="24"/>
    </w:rPr>
  </w:style>
  <w:style w:type="character" w:styleId="9">
    <w:name w:val="page number"/>
    <w:basedOn w:val="8"/>
    <w:qFormat/>
    <w:uiPriority w:val="0"/>
  </w:style>
  <w:style w:type="character" w:styleId="10">
    <w:name w:val="FollowedHyperlink"/>
    <w:basedOn w:val="8"/>
    <w:qFormat/>
    <w:uiPriority w:val="0"/>
    <w:rPr>
      <w:color w:val="003366"/>
      <w:u w:val="none"/>
    </w:rPr>
  </w:style>
  <w:style w:type="character" w:styleId="11">
    <w:name w:val="Hyperlink"/>
    <w:basedOn w:val="8"/>
    <w:qFormat/>
    <w:uiPriority w:val="0"/>
    <w:rPr>
      <w:color w:val="003366"/>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bmp"/><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18</Pages>
  <Words>7742</Words>
  <Characters>8117</Characters>
  <Lines>0</Lines>
  <Paragraphs>0</Paragraphs>
  <TotalTime>37</TotalTime>
  <ScaleCrop>false</ScaleCrop>
  <LinksUpToDate>false</LinksUpToDate>
  <CharactersWithSpaces>8225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2021-02-01T01:54:00Z</dcterms:created>
  <dc:creator>6.™</dc:creator>
  <cp:lastModifiedBy>DELL</cp:lastModifiedBy>
  <dcterms:modified xsi:type="dcterms:W3CDTF">2023-07-05T07:19:07Z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B16EE2BBE34447B3804DBD06CB4007D3</vt:lpwstr>
  </property>
</Properties>
</file>