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G5京昆高速公路汉中至广元段（四川境）扩容工程建设项目（昭化段）征地补偿安置方案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为推进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G5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京昆高速公路汉中至广元段（四川境）扩容工程建设项目（昭化段）</w:t>
      </w:r>
      <w:r>
        <w:rPr>
          <w:rFonts w:ascii="Times New Roman" w:hAnsi="Times New Roman" w:eastAsia="仿宋_GB2312"/>
          <w:color w:val="auto"/>
          <w:sz w:val="32"/>
          <w:szCs w:val="32"/>
        </w:rPr>
        <w:t>土地房屋征收工作顺利开展，切实维护被征收人的合法权益，依据相关法律法规和政策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，结合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G5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京昆高速公路汉中至广元段（四川境）扩容工程建设项目（昭化段）</w:t>
      </w:r>
      <w:r>
        <w:rPr>
          <w:rFonts w:ascii="Times New Roman" w:hAnsi="Times New Roman" w:eastAsia="仿宋_GB2312"/>
          <w:color w:val="auto"/>
          <w:sz w:val="32"/>
          <w:szCs w:val="32"/>
        </w:rPr>
        <w:t>实际，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拟</w:t>
      </w:r>
      <w:r>
        <w:rPr>
          <w:rFonts w:ascii="Times New Roman" w:hAnsi="Times New Roman" w:eastAsia="仿宋_GB2312"/>
          <w:color w:val="auto"/>
          <w:sz w:val="32"/>
          <w:szCs w:val="32"/>
        </w:rPr>
        <w:t>定本方案。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一、拟征收土地面积及范围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拟征收土地位于广元市昭化区元坝镇长坝社区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1组0.521公顷、2组1.4845公顷、7组10.3504公顷、9组2.9227公顷、10组10.8579公顷、11组1.5999公顷；马克思街社区10组0.5825公顷、12组2.5333公顷、13组7.7149公顷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。拟征收集体土地面积共计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38.5671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公顷。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具体地类、面积以勘测定界为准。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37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拟征收土地现状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7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拟征收元坝镇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长坝社区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土地7.815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亩（非耕地）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土地22.2675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亩（非耕地）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155.256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亩，其中农用地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151.86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18.0855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133.7745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亩），建设用地3.396亩；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长坝社区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43.8405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亩，其中农用地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43.107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32.4855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10.6215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亩），建设用地0.73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35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长坝社区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162.8685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亩，其中农用地15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0.7185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105.945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44.7735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亩），建设用地12.1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长坝社区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土地23.9985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亩（耕地20.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3205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亩，非耕地3.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678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马克思街社区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土地8.7375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7.5585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1.179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马克思街社区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土地37.9995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32.8695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5.13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马克思街社区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土地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115.7235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亩，其中农用地1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13.319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亩（耕地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71.253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亩，非耕地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42.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066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亩），建设用地2.4045亩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三、征收目的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根据《中华人民共和国土地管理法》第四十五条第（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）项之规定，拟征收土地将作为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政府组织实施的交通基础设施建设用地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黑体"/>
          <w:bCs/>
          <w:color w:val="auto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sz w:val="32"/>
          <w:szCs w:val="32"/>
        </w:rPr>
        <w:t>四、征收实施单位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区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土地房屋</w:t>
      </w:r>
      <w:r>
        <w:rPr>
          <w:rFonts w:ascii="Times New Roman" w:hAnsi="Times New Roman" w:eastAsia="仿宋_GB2312"/>
          <w:color w:val="auto"/>
          <w:sz w:val="32"/>
          <w:szCs w:val="32"/>
        </w:rPr>
        <w:t>征收中心负责组织实施本项目的土地征收补偿安置工作，元坝镇人民政府承担本项目土地征收补偿安置具体工作，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区经信科技局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区财政局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区公安分局、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区司法局、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区人力资源社会保障局</w:t>
      </w:r>
      <w:r>
        <w:rPr>
          <w:rFonts w:ascii="Times New Roman" w:hAnsi="Times New Roman" w:eastAsia="仿宋_GB2312"/>
          <w:color w:val="auto"/>
          <w:sz w:val="32"/>
          <w:szCs w:val="32"/>
        </w:rPr>
        <w:t>、区住建局、区农业农村局、</w:t>
      </w:r>
      <w:r>
        <w:rPr>
          <w:rFonts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区林业局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区自然资源分局等职能部门配合做好相关工作。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补偿标准及方式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（一）土地补偿费和安置补助费</w:t>
      </w:r>
      <w:r>
        <w:rPr>
          <w:rFonts w:ascii="Times New Roman" w:hAnsi="Times New Roman" w:eastAsia="楷体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按四川省人民政府《关于同意各市（州）征收农用地区片综合地价标准的批复》（川府函〔2020〕185号）和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《广元市昭化区人民政府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关于公布实施征收农用地区片综合地价标准的通知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》（昭府函〔2020〕44号）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标准执行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，元坝镇长坝社区、马克思街社区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农用地区片综合地价标准为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5.6万元/亩，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征收非农用地的区片综合地价按征收农用地标准的0.5倍执行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。土地补偿费和安置补助费比例为3:7。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</w:rPr>
        <w:t>地上附着物补偿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楷体_GB2312" w:cs="Times New Roman"/>
          <w:color w:val="auto"/>
          <w:spacing w:val="-6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按四川省人民政府《关于同意各市（州）征地青苗和地上附着物补偿标准的批复》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（川府函〔2020〕217号）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标准执行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Cs w:val="32"/>
        </w:rPr>
        <w:t>）其他补偿</w:t>
      </w:r>
      <w:r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1.临时安置补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偿标准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。临时安置补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标准为200元/人·月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；临时安置时间为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3个月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2.被征收房屋搬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迁补偿标准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。按被征收房屋补偿费总额的1%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补偿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3.房屋征收奖励。①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签约奖。被征收人在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规定时间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内签订房屋征收补偿协议，给予5000元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的签约奖励。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②搬迁奖：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  <w:t>被征收人在补偿协议约定的搬迁期限内完成搬离并交房拆除的，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</w:rPr>
        <w:t>按照被征收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房屋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</w:rPr>
        <w:t>主体建筑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中的住房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</w:rPr>
        <w:t>面积给予200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㎡</w:t>
      </w:r>
      <w:r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</w:rPr>
        <w:t>搬迁奖励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  <w:t>，底层房屋用作商铺经调查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auto"/>
          <w:lang w:eastAsia="zh-CN"/>
        </w:rPr>
        <w:t>认定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  <w:t>并公示无异议后给予400</w:t>
      </w:r>
      <w:r>
        <w:rPr>
          <w:rFonts w:ascii="Times New Roman" w:hAnsi="Times New Roman" w:eastAsia="仿宋_GB2312"/>
          <w:color w:val="auto"/>
          <w:sz w:val="32"/>
          <w:szCs w:val="32"/>
        </w:rPr>
        <w:t>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/</w:t>
      </w:r>
      <w:r>
        <w:rPr>
          <w:rFonts w:ascii="Times New Roman" w:hAnsi="Times New Roman" w:eastAsia="仿宋_GB2312"/>
          <w:color w:val="auto"/>
          <w:sz w:val="32"/>
          <w:szCs w:val="32"/>
        </w:rPr>
        <w:t>㎡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auto"/>
        </w:rPr>
        <w:t>奖励。搬迁奖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auto"/>
          <w:lang w:eastAsia="zh-CN"/>
        </w:rPr>
        <w:t>从房屋补偿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资金到账之日起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20日内房屋拆除的支付100%，30日内拆除的支付90%，40日内拆除的支付80%，超过40日拆除的支付70%。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color w:val="auto"/>
          <w:szCs w:val="32"/>
        </w:rPr>
        <w:t>）补偿方式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1.土地补偿和安置补助。土地补偿费和安置补助费由区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土地房屋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征收中心支付给被征地集体经济组织，按规定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管理、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分配、使用。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.地上附着物补偿。地上附着物补偿费属于集体经济组织所有的，由区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土地房屋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征收中心支付给集体经济组织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属于个人所有的，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由区土地房屋征收中心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支付给个人。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住房安置对象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以广元市昭化区土地房屋征收中心组织被征地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集体经济组织村民代表、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区公安分局、区住建局、区农业农村局、区自然资源分局、元坝镇人民政府会审公示无异议的结果为准。</w:t>
      </w:r>
    </w:p>
    <w:p>
      <w:pPr>
        <w:keepNext w:val="0"/>
        <w:keepLines w:val="0"/>
        <w:pageBreakBefore w:val="0"/>
        <w:widowControl w:val="0"/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七、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住房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安置方式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本次征地对符合安置条件的对象采取“货币补偿安置”方式进行安置。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auto"/>
          <w:sz w:val="32"/>
          <w:szCs w:val="32"/>
        </w:rPr>
        <w:t>货币补偿安置优惠政策：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本方案发布之日起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1年内</w:t>
      </w:r>
      <w:r>
        <w:rPr>
          <w:rFonts w:ascii="Times New Roman" w:hAnsi="Times New Roman" w:eastAsia="仿宋_GB2312"/>
          <w:color w:val="auto"/>
          <w:sz w:val="32"/>
          <w:szCs w:val="32"/>
        </w:rPr>
        <w:t>在昭化区城区（元坝镇）购商品房给予补助。购房补助按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所购房屋</w:t>
      </w:r>
      <w:r>
        <w:rPr>
          <w:rFonts w:ascii="Times New Roman" w:hAnsi="Times New Roman" w:eastAsia="仿宋_GB2312"/>
          <w:color w:val="auto"/>
          <w:sz w:val="32"/>
          <w:szCs w:val="32"/>
        </w:rPr>
        <w:t>建筑面积200元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/</w:t>
      </w:r>
      <w:r>
        <w:rPr>
          <w:rFonts w:ascii="Times New Roman" w:hAnsi="Times New Roman" w:eastAsia="仿宋_GB2312"/>
          <w:color w:val="auto"/>
          <w:sz w:val="32"/>
          <w:szCs w:val="32"/>
        </w:rPr>
        <w:t>㎡执行，补助建筑面积按应安置人员不超过50㎡/人执行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购房补助纳入该项目征收成本。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  <w:t>八、社会保障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征地涉及的失地应安置人员和安置方式，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按照四川省人力资源和社会保障厅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四川省财政厅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四川省自然资源厅《关于印发〈四川省被征地农民养老保障实施办法〉的通知》（川人社发〔2018〕46号）和广元市人力资源和社会保障局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广元市财政局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广元市自然资源局《关于切实做好我市被征地农民养老保障工作的通知》（广人社发〔2020〕25号）等文件规定予以社会保障。</w:t>
      </w:r>
    </w:p>
    <w:p>
      <w:pPr>
        <w:keepNext w:val="0"/>
        <w:keepLines w:val="0"/>
        <w:pageBreakBefore w:val="0"/>
        <w:widowControl w:val="0"/>
        <w:tabs>
          <w:tab w:val="left" w:pos="49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/>
          <w:color w:val="auto"/>
          <w:sz w:val="32"/>
          <w:szCs w:val="32"/>
        </w:rPr>
        <w:t>本方案仅适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用于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G5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京昆高速公路汉中至广元段（四川境）扩容工程建设项目（昭化段）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（二）本方案由区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土地房屋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征收中心负责解释，未涉及内容按相关法律法规及政策执行。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15"/>
        <w:spacing w:line="240" w:lineRule="auto"/>
        <w:ind w:left="0" w:leftChars="0" w:firstLine="0" w:firstLineChars="0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59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  <w:rPr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 w:firstLine="0" w:firstLineChars="0"/>
                            <w:jc w:val="both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gUyD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mhLDNGZ0+vb19P3p9OML&#10;wRsAalyYwW/j4BnbN7YtaPR7MZgC3lPrrfQ63WiKwAVoHy8IizYSjsfxdDKd5jBx2AYFKbLrd+dD&#10;fCusJkkoqMcIO2TZYR3i2XVwSdmMXdVKdWNUhjQFvXn5K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qBTIM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 w:firstLine="0" w:firstLineChars="0"/>
                      <w:jc w:val="both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CC1885"/>
    <w:multiLevelType w:val="singleLevel"/>
    <w:tmpl w:val="1CCC188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F2B518"/>
    <w:multiLevelType w:val="singleLevel"/>
    <w:tmpl w:val="2BF2B51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B3FD77"/>
    <w:multiLevelType w:val="singleLevel"/>
    <w:tmpl w:val="44B3FD7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attachedTemplate r:id="rId1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ZTI2MzZkNzNhZmE0NDNjNDhkOWUwYjYxZmU2ZGIifQ=="/>
  </w:docVars>
  <w:rsids>
    <w:rsidRoot w:val="748E1216"/>
    <w:rsid w:val="014C52D2"/>
    <w:rsid w:val="0250441F"/>
    <w:rsid w:val="034A2DD8"/>
    <w:rsid w:val="04133956"/>
    <w:rsid w:val="04D97B0B"/>
    <w:rsid w:val="07BF3823"/>
    <w:rsid w:val="0CB1248C"/>
    <w:rsid w:val="0CCC76D6"/>
    <w:rsid w:val="0DE325EB"/>
    <w:rsid w:val="0E044107"/>
    <w:rsid w:val="0E0A0187"/>
    <w:rsid w:val="0FE4604B"/>
    <w:rsid w:val="13E33C1B"/>
    <w:rsid w:val="171B1919"/>
    <w:rsid w:val="1BE957D7"/>
    <w:rsid w:val="1C6F26DB"/>
    <w:rsid w:val="1CC37CC1"/>
    <w:rsid w:val="1F737547"/>
    <w:rsid w:val="21B2617D"/>
    <w:rsid w:val="22925A13"/>
    <w:rsid w:val="28253413"/>
    <w:rsid w:val="31D532E6"/>
    <w:rsid w:val="372E5D4A"/>
    <w:rsid w:val="3BD06DCD"/>
    <w:rsid w:val="3D6F7148"/>
    <w:rsid w:val="3E784A89"/>
    <w:rsid w:val="3F3F3358"/>
    <w:rsid w:val="3F6C3F83"/>
    <w:rsid w:val="4178476C"/>
    <w:rsid w:val="451076ED"/>
    <w:rsid w:val="4B412124"/>
    <w:rsid w:val="4F7A152E"/>
    <w:rsid w:val="4F7C0D32"/>
    <w:rsid w:val="545A6004"/>
    <w:rsid w:val="546E53E7"/>
    <w:rsid w:val="585D0004"/>
    <w:rsid w:val="628E4631"/>
    <w:rsid w:val="62D362F4"/>
    <w:rsid w:val="636E0E6B"/>
    <w:rsid w:val="65674074"/>
    <w:rsid w:val="6608225E"/>
    <w:rsid w:val="668A4A6B"/>
    <w:rsid w:val="67EF6286"/>
    <w:rsid w:val="69413DBC"/>
    <w:rsid w:val="6C1A459F"/>
    <w:rsid w:val="710547C7"/>
    <w:rsid w:val="72F71196"/>
    <w:rsid w:val="748E1216"/>
    <w:rsid w:val="751D0C5C"/>
    <w:rsid w:val="75D73501"/>
    <w:rsid w:val="75FE283B"/>
    <w:rsid w:val="79BF327A"/>
    <w:rsid w:val="7A36647D"/>
    <w:rsid w:val="BF7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spacing w:after="0"/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next w:val="13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Quote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iCs/>
      <w:kern w:val="0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F:\&#24037;&#20316;\&#24120;&#21153;&#20250;\&#20843;&#23626;&#35758;&#39064;&#35831;&#31034;\&#26157;&#24220;&#20826;&#32452;34&#27425;&#35758;&#39064;&#35831;&#3103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昭府党组34次议题请示.docx</Template>
  <Pages>7</Pages>
  <Words>2495</Words>
  <Characters>2839</Characters>
  <Lines>0</Lines>
  <Paragraphs>0</Paragraphs>
  <TotalTime>21</TotalTime>
  <ScaleCrop>false</ScaleCrop>
  <LinksUpToDate>false</LinksUpToDate>
  <CharactersWithSpaces>2905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2023-04-11T10:37:00Z</dcterms:created>
  <dc:creator>ゾ久违┇</dc:creator>
  <cp:lastModifiedBy>uos</cp:lastModifiedBy>
  <cp:lastPrinted>2023-05-05T15:36:00Z</cp:lastPrinted>
  <dcterms:modified xsi:type="dcterms:W3CDTF">2023-05-17T15:36:41Z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FA455AA845634F2F8344D0E25EBBCB31_13</vt:lpwstr>
  </property>
</Properties>
</file>