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方正小标宋简体" w:hAnsi="宋体" w:eastAsia="方正小标宋简体"/>
          <w:sz w:val="72"/>
          <w:szCs w:val="72"/>
        </w:rPr>
      </w:pPr>
      <w:bookmarkStart w:id="0" w:name="_Toc15377193"/>
      <w:bookmarkStart w:id="1" w:name="_Toc15378441"/>
      <w:bookmarkStart w:id="2" w:name="_Toc15377425"/>
      <w:bookmarkStart w:id="3" w:name="_Toc15396597"/>
      <w:bookmarkStart w:id="4" w:name="_Toc15396475"/>
      <w:bookmarkStart w:id="5" w:name="_Toc15306267"/>
    </w:p>
    <w:p>
      <w:pPr>
        <w:adjustRightInd w:val="0"/>
        <w:snapToGrid w:val="0"/>
        <w:spacing w:line="360" w:lineRule="auto"/>
        <w:jc w:val="center"/>
        <w:rPr>
          <w:rFonts w:ascii="方正小标宋简体" w:hAnsi="宋体" w:eastAsia="方正小标宋简体"/>
          <w:sz w:val="72"/>
          <w:szCs w:val="72"/>
        </w:rPr>
      </w:pPr>
    </w:p>
    <w:p>
      <w:pPr>
        <w:adjustRightInd w:val="0"/>
        <w:snapToGrid w:val="0"/>
        <w:spacing w:line="1100" w:lineRule="exact"/>
        <w:jc w:val="center"/>
        <w:outlineLvl w:val="0"/>
        <w:rPr>
          <w:rFonts w:ascii="方正小标宋简体" w:hAnsi="方正小标宋简体" w:eastAsia="方正小标宋简体" w:cs="方正小标宋简体"/>
          <w:sz w:val="72"/>
          <w:szCs w:val="72"/>
        </w:rPr>
      </w:pPr>
      <w:bookmarkStart w:id="6" w:name="_Toc9008"/>
      <w:r>
        <w:rPr>
          <w:rFonts w:hint="eastAsia" w:ascii="方正小标宋简体" w:hAnsi="方正小标宋简体" w:eastAsia="方正小标宋简体" w:cs="方正小标宋简体"/>
          <w:sz w:val="72"/>
          <w:szCs w:val="72"/>
        </w:rPr>
        <w:t>202</w:t>
      </w:r>
      <w:r>
        <w:rPr>
          <w:rFonts w:hint="eastAsia" w:ascii="方正小标宋简体" w:hAnsi="方正小标宋简体" w:eastAsia="方正小标宋简体" w:cs="方正小标宋简体"/>
          <w:sz w:val="72"/>
          <w:szCs w:val="72"/>
          <w:lang w:val="en-US" w:eastAsia="zh-CN"/>
        </w:rPr>
        <w:t>2</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bookmarkEnd w:id="6"/>
    </w:p>
    <w:p>
      <w:pPr>
        <w:adjustRightInd w:val="0"/>
        <w:snapToGrid w:val="0"/>
        <w:spacing w:line="1100" w:lineRule="exact"/>
        <w:jc w:val="center"/>
        <w:outlineLvl w:val="0"/>
        <w:rPr>
          <w:rFonts w:ascii="方正小标宋简体" w:hAnsi="方正小标宋简体" w:eastAsia="方正小标宋简体" w:cs="方正小标宋简体"/>
          <w:sz w:val="72"/>
          <w:szCs w:val="72"/>
        </w:rPr>
      </w:pPr>
      <w:bookmarkStart w:id="7" w:name="_Toc23880"/>
      <w:bookmarkStart w:id="8" w:name="_Toc15377426"/>
      <w:bookmarkStart w:id="9" w:name="_Toc15396476"/>
      <w:bookmarkStart w:id="10" w:name="_Toc15377194"/>
      <w:bookmarkStart w:id="11" w:name="_Toc15396598"/>
      <w:bookmarkStart w:id="12" w:name="_Toc15378442"/>
      <w:r>
        <w:rPr>
          <w:rFonts w:hint="eastAsia" w:ascii="方正小标宋简体" w:hAnsi="方正小标宋简体" w:eastAsia="方正小标宋简体" w:cs="方正小标宋简体"/>
          <w:sz w:val="72"/>
          <w:szCs w:val="72"/>
        </w:rPr>
        <w:t>四川省</w:t>
      </w:r>
      <w:bookmarkEnd w:id="5"/>
      <w:bookmarkStart w:id="13" w:name="_Toc15306268"/>
      <w:r>
        <w:rPr>
          <w:rFonts w:hint="eastAsia" w:ascii="方正小标宋简体" w:hAnsi="方正小标宋简体" w:eastAsia="方正小标宋简体" w:cs="方正小标宋简体"/>
          <w:sz w:val="72"/>
          <w:szCs w:val="72"/>
        </w:rPr>
        <w:t>广元市昭化区卫子镇</w:t>
      </w:r>
      <w:bookmarkEnd w:id="7"/>
    </w:p>
    <w:p>
      <w:pPr>
        <w:adjustRightInd w:val="0"/>
        <w:snapToGrid w:val="0"/>
        <w:spacing w:line="1100" w:lineRule="exact"/>
        <w:jc w:val="center"/>
        <w:outlineLvl w:val="0"/>
        <w:rPr>
          <w:rFonts w:ascii="方正小标宋简体" w:hAnsi="方正小标宋简体" w:eastAsia="方正小标宋简体" w:cs="方正小标宋简体"/>
          <w:sz w:val="72"/>
          <w:szCs w:val="72"/>
        </w:rPr>
      </w:pPr>
      <w:bookmarkStart w:id="14" w:name="_Toc13395"/>
      <w:r>
        <w:rPr>
          <w:rFonts w:hint="eastAsia" w:ascii="方正小标宋简体" w:hAnsi="方正小标宋简体" w:eastAsia="方正小标宋简体" w:cs="方正小标宋简体"/>
          <w:sz w:val="72"/>
          <w:szCs w:val="72"/>
        </w:rPr>
        <w:t>人民政府</w:t>
      </w:r>
      <w:r>
        <w:rPr>
          <w:rFonts w:hint="eastAsia" w:ascii="方正小标宋简体" w:hAnsi="方正小标宋简体" w:eastAsia="方正小标宋简体" w:cs="方正小标宋简体"/>
          <w:sz w:val="72"/>
          <w:szCs w:val="72"/>
          <w:lang w:eastAsia="zh-CN"/>
        </w:rPr>
        <w:t>部门</w:t>
      </w:r>
      <w:r>
        <w:rPr>
          <w:rFonts w:hint="eastAsia" w:ascii="方正小标宋简体" w:hAnsi="方正小标宋简体" w:eastAsia="方正小标宋简体" w:cs="方正小标宋简体"/>
          <w:sz w:val="72"/>
          <w:szCs w:val="72"/>
        </w:rPr>
        <w:t>决算</w:t>
      </w:r>
      <w:bookmarkEnd w:id="8"/>
      <w:bookmarkEnd w:id="9"/>
      <w:bookmarkEnd w:id="10"/>
      <w:bookmarkEnd w:id="11"/>
      <w:bookmarkEnd w:id="12"/>
      <w:bookmarkEnd w:id="13"/>
      <w:bookmarkEnd w:id="14"/>
    </w:p>
    <w:p>
      <w:pPr>
        <w:pStyle w:val="15"/>
        <w:adjustRightInd w:val="0"/>
        <w:snapToGrid w:val="0"/>
        <w:spacing w:line="440" w:lineRule="exact"/>
        <w:jc w:val="left"/>
        <w:rPr>
          <w:rFonts w:ascii="方正小标宋简体" w:hAnsi="宋体" w:eastAsia="方正小标宋简体"/>
          <w:sz w:val="36"/>
          <w:szCs w:val="36"/>
        </w:rPr>
      </w:pPr>
    </w:p>
    <w:p>
      <w:pPr>
        <w:pStyle w:val="15"/>
        <w:adjustRightInd w:val="0"/>
        <w:snapToGrid w:val="0"/>
        <w:spacing w:line="440" w:lineRule="exact"/>
        <w:jc w:val="left"/>
        <w:rPr>
          <w:rFonts w:ascii="方正小标宋简体" w:hAnsi="宋体" w:eastAsia="方正小标宋简体"/>
          <w:sz w:val="36"/>
          <w:szCs w:val="36"/>
        </w:rPr>
      </w:pPr>
    </w:p>
    <w:p>
      <w:pPr>
        <w:pStyle w:val="15"/>
        <w:adjustRightInd w:val="0"/>
        <w:snapToGrid w:val="0"/>
        <w:spacing w:line="440" w:lineRule="exact"/>
        <w:jc w:val="left"/>
        <w:rPr>
          <w:rFonts w:ascii="方正小标宋简体" w:hAnsi="宋体" w:eastAsia="方正小标宋简体"/>
          <w:sz w:val="36"/>
          <w:szCs w:val="36"/>
        </w:rPr>
      </w:pPr>
    </w:p>
    <w:p>
      <w:pPr>
        <w:pStyle w:val="15"/>
        <w:adjustRightInd w:val="0"/>
        <w:snapToGrid w:val="0"/>
        <w:spacing w:line="440" w:lineRule="exact"/>
        <w:jc w:val="left"/>
        <w:rPr>
          <w:rFonts w:ascii="方正小标宋简体" w:hAnsi="宋体" w:eastAsia="方正小标宋简体"/>
          <w:sz w:val="36"/>
          <w:szCs w:val="36"/>
        </w:rPr>
      </w:pPr>
    </w:p>
    <w:p>
      <w:pPr>
        <w:pStyle w:val="15"/>
        <w:adjustRightInd w:val="0"/>
        <w:snapToGrid w:val="0"/>
        <w:spacing w:line="440" w:lineRule="exact"/>
        <w:jc w:val="left"/>
        <w:rPr>
          <w:rFonts w:ascii="方正小标宋简体" w:hAnsi="宋体" w:eastAsia="方正小标宋简体"/>
          <w:sz w:val="36"/>
          <w:szCs w:val="36"/>
        </w:rPr>
      </w:pPr>
    </w:p>
    <w:p>
      <w:pPr>
        <w:pStyle w:val="15"/>
        <w:adjustRightInd w:val="0"/>
        <w:snapToGrid w:val="0"/>
        <w:spacing w:line="440" w:lineRule="exact"/>
        <w:jc w:val="left"/>
        <w:rPr>
          <w:rFonts w:ascii="方正小标宋简体" w:hAnsi="宋体" w:eastAsia="方正小标宋简体"/>
          <w:sz w:val="36"/>
          <w:szCs w:val="36"/>
        </w:rPr>
      </w:pPr>
    </w:p>
    <w:p>
      <w:pPr>
        <w:pStyle w:val="15"/>
        <w:adjustRightInd w:val="0"/>
        <w:snapToGrid w:val="0"/>
        <w:spacing w:line="440" w:lineRule="exact"/>
        <w:jc w:val="left"/>
        <w:rPr>
          <w:rFonts w:ascii="方正小标宋简体" w:hAnsi="宋体" w:eastAsia="方正小标宋简体"/>
          <w:sz w:val="36"/>
          <w:szCs w:val="36"/>
        </w:rPr>
      </w:pPr>
    </w:p>
    <w:p>
      <w:pPr>
        <w:pStyle w:val="15"/>
        <w:adjustRightInd w:val="0"/>
        <w:snapToGrid w:val="0"/>
        <w:spacing w:line="440" w:lineRule="exact"/>
        <w:jc w:val="left"/>
        <w:rPr>
          <w:rFonts w:ascii="方正小标宋简体" w:hAnsi="宋体" w:eastAsia="方正小标宋简体"/>
          <w:sz w:val="36"/>
          <w:szCs w:val="36"/>
        </w:rPr>
      </w:pPr>
    </w:p>
    <w:p>
      <w:pPr>
        <w:pStyle w:val="15"/>
        <w:adjustRightInd w:val="0"/>
        <w:snapToGrid w:val="0"/>
        <w:spacing w:line="440" w:lineRule="exact"/>
        <w:jc w:val="left"/>
        <w:rPr>
          <w:rFonts w:ascii="方正小标宋简体" w:hAnsi="宋体" w:eastAsia="方正小标宋简体"/>
          <w:sz w:val="36"/>
          <w:szCs w:val="36"/>
        </w:rPr>
      </w:pPr>
    </w:p>
    <w:p>
      <w:pPr>
        <w:pStyle w:val="15"/>
        <w:adjustRightInd w:val="0"/>
        <w:snapToGrid w:val="0"/>
        <w:spacing w:line="440" w:lineRule="exact"/>
        <w:jc w:val="left"/>
        <w:rPr>
          <w:rFonts w:ascii="方正小标宋简体" w:hAnsi="宋体" w:eastAsia="方正小标宋简体"/>
          <w:sz w:val="36"/>
          <w:szCs w:val="36"/>
        </w:rPr>
      </w:pPr>
    </w:p>
    <w:p>
      <w:pPr>
        <w:pStyle w:val="15"/>
        <w:adjustRightInd w:val="0"/>
        <w:snapToGrid w:val="0"/>
        <w:spacing w:line="440" w:lineRule="exact"/>
        <w:jc w:val="left"/>
        <w:rPr>
          <w:rFonts w:ascii="方正小标宋简体" w:hAnsi="宋体" w:eastAsia="方正小标宋简体"/>
          <w:sz w:val="36"/>
          <w:szCs w:val="36"/>
        </w:rPr>
      </w:pPr>
    </w:p>
    <w:p>
      <w:pPr>
        <w:pStyle w:val="15"/>
        <w:adjustRightInd w:val="0"/>
        <w:snapToGrid w:val="0"/>
        <w:spacing w:line="440" w:lineRule="exact"/>
        <w:jc w:val="left"/>
        <w:rPr>
          <w:rFonts w:ascii="方正小标宋简体" w:hAnsi="宋体" w:eastAsia="方正小标宋简体"/>
          <w:sz w:val="36"/>
          <w:szCs w:val="36"/>
        </w:rPr>
      </w:pPr>
    </w:p>
    <w:p>
      <w:pPr>
        <w:pStyle w:val="15"/>
        <w:adjustRightInd w:val="0"/>
        <w:snapToGrid w:val="0"/>
        <w:spacing w:line="440" w:lineRule="exact"/>
        <w:jc w:val="left"/>
        <w:rPr>
          <w:rFonts w:ascii="方正小标宋简体" w:hAnsi="宋体" w:eastAsia="方正小标宋简体"/>
          <w:sz w:val="36"/>
          <w:szCs w:val="36"/>
        </w:rPr>
      </w:pPr>
    </w:p>
    <w:p/>
    <w:sdt>
      <w:sdtPr>
        <w:rPr>
          <w:rFonts w:ascii="宋体" w:hAnsi="宋体"/>
          <w:sz w:val="32"/>
          <w:szCs w:val="32"/>
        </w:rPr>
        <w:id w:val="147472450"/>
        <w:docPartObj>
          <w:docPartGallery w:val="Table of Contents"/>
          <w:docPartUnique/>
        </w:docPartObj>
      </w:sdtPr>
      <w:sdtEndPr>
        <w:rPr>
          <w:rFonts w:ascii="方正小标宋简体" w:hAnsi="宋体" w:eastAsia="方正小标宋简体"/>
          <w:b/>
          <w:sz w:val="32"/>
          <w:szCs w:val="36"/>
        </w:rPr>
      </w:sdtEndPr>
      <w:sdtContent>
        <w:p>
          <w:pPr>
            <w:jc w:val="center"/>
            <w:rPr>
              <w:rFonts w:ascii="宋体" w:hAnsi="宋体"/>
              <w:sz w:val="32"/>
              <w:szCs w:val="32"/>
            </w:rPr>
          </w:pPr>
          <w:r>
            <w:rPr>
              <w:rFonts w:ascii="宋体" w:hAnsi="宋体"/>
              <w:b/>
              <w:bCs/>
              <w:sz w:val="32"/>
              <w:szCs w:val="32"/>
            </w:rPr>
            <w:t>目</w:t>
          </w:r>
          <w:r>
            <w:rPr>
              <w:rFonts w:hint="eastAsia" w:ascii="宋体" w:hAnsi="宋体"/>
              <w:b/>
              <w:bCs/>
              <w:sz w:val="32"/>
              <w:szCs w:val="32"/>
              <w:lang w:val="en-US" w:eastAsia="zh-CN"/>
            </w:rPr>
            <w:t xml:space="preserve">   </w:t>
          </w:r>
          <w:r>
            <w:rPr>
              <w:rFonts w:ascii="宋体" w:hAnsi="宋体"/>
              <w:b/>
              <w:bCs/>
              <w:sz w:val="32"/>
              <w:szCs w:val="32"/>
            </w:rPr>
            <w:t>录</w:t>
          </w:r>
        </w:p>
        <w:p>
          <w:pPr>
            <w:pStyle w:val="14"/>
            <w:jc w:val="center"/>
            <w:rPr>
              <w:rFonts w:hint="eastAsia" w:ascii="宋体" w:hAnsi="宋体" w:eastAsia="宋体" w:cs="宋体"/>
              <w:color w:val="auto"/>
              <w:sz w:val="30"/>
              <w:szCs w:val="30"/>
            </w:rPr>
          </w:pPr>
          <w:r>
            <w:rPr>
              <w:rFonts w:hint="eastAsia" w:ascii="宋体" w:hAnsi="宋体" w:eastAsia="宋体" w:cs="宋体"/>
              <w:color w:val="auto"/>
              <w:sz w:val="30"/>
              <w:szCs w:val="30"/>
            </w:rPr>
            <w:t>公开时间：202</w:t>
          </w:r>
          <w:r>
            <w:rPr>
              <w:rFonts w:hint="eastAsia" w:ascii="宋体" w:hAnsi="宋体" w:eastAsia="宋体" w:cs="宋体"/>
              <w:color w:val="auto"/>
              <w:sz w:val="30"/>
              <w:szCs w:val="30"/>
              <w:lang w:val="en-US" w:eastAsia="zh-CN"/>
            </w:rPr>
            <w:t>3</w:t>
          </w:r>
          <w:r>
            <w:rPr>
              <w:rFonts w:hint="eastAsia" w:ascii="宋体" w:hAnsi="宋体" w:eastAsia="宋体" w:cs="宋体"/>
              <w:color w:val="auto"/>
              <w:sz w:val="30"/>
              <w:szCs w:val="30"/>
            </w:rPr>
            <w:t>年</w:t>
          </w:r>
          <w:r>
            <w:rPr>
              <w:rFonts w:hint="eastAsia" w:ascii="宋体" w:hAnsi="宋体" w:eastAsia="宋体" w:cs="宋体"/>
              <w:color w:val="auto"/>
              <w:sz w:val="30"/>
              <w:szCs w:val="30"/>
              <w:lang w:val="en-US" w:eastAsia="zh-CN"/>
            </w:rPr>
            <w:t>9</w:t>
          </w:r>
          <w:r>
            <w:rPr>
              <w:rFonts w:hint="eastAsia" w:ascii="宋体" w:hAnsi="宋体" w:eastAsia="宋体" w:cs="宋体"/>
              <w:color w:val="auto"/>
              <w:sz w:val="30"/>
              <w:szCs w:val="30"/>
            </w:rPr>
            <w:t>月</w:t>
          </w:r>
          <w:r>
            <w:rPr>
              <w:rFonts w:hint="eastAsia" w:ascii="宋体" w:hAnsi="宋体" w:eastAsia="宋体" w:cs="宋体"/>
              <w:color w:val="auto"/>
              <w:sz w:val="30"/>
              <w:szCs w:val="30"/>
              <w:lang w:val="en-US" w:eastAsia="zh-CN"/>
            </w:rPr>
            <w:t>28</w:t>
          </w:r>
          <w:r>
            <w:rPr>
              <w:rFonts w:hint="eastAsia" w:ascii="宋体" w:hAnsi="宋体" w:eastAsia="宋体" w:cs="宋体"/>
              <w:color w:val="auto"/>
              <w:sz w:val="30"/>
              <w:szCs w:val="30"/>
            </w:rPr>
            <w:t>日</w:t>
          </w:r>
        </w:p>
        <w:p>
          <w:pPr>
            <w:pStyle w:val="37"/>
            <w:tabs>
              <w:tab w:val="right" w:leader="dot" w:pos="8845"/>
            </w:tabs>
            <w:rPr>
              <w:b/>
            </w:rPr>
          </w:pPr>
          <w:r>
            <w:rPr>
              <w:rFonts w:ascii="方正小标宋简体" w:hAnsi="宋体" w:eastAsia="方正小标宋简体"/>
              <w:sz w:val="36"/>
              <w:szCs w:val="36"/>
            </w:rPr>
            <w:fldChar w:fldCharType="begin"/>
          </w:r>
          <w:r>
            <w:rPr>
              <w:rFonts w:ascii="方正小标宋简体" w:hAnsi="宋体" w:eastAsia="方正小标宋简体"/>
              <w:sz w:val="36"/>
              <w:szCs w:val="36"/>
            </w:rPr>
            <w:instrText xml:space="preserve">TOC \o "1-2" \h \u </w:instrText>
          </w:r>
          <w:r>
            <w:rPr>
              <w:rFonts w:ascii="方正小标宋简体" w:hAnsi="宋体" w:eastAsia="方正小标宋简体"/>
              <w:sz w:val="36"/>
              <w:szCs w:val="36"/>
            </w:rPr>
            <w:fldChar w:fldCharType="separate"/>
          </w:r>
        </w:p>
        <w:p>
          <w:pPr>
            <w:pStyle w:val="37"/>
            <w:tabs>
              <w:tab w:val="right" w:leader="dot" w:pos="8845"/>
            </w:tabs>
            <w:rPr>
              <w:b/>
            </w:rPr>
          </w:pPr>
          <w:r>
            <w:fldChar w:fldCharType="begin"/>
          </w:r>
          <w:r>
            <w:instrText xml:space="preserve"> HYPERLINK \l "_Toc17067" </w:instrText>
          </w:r>
          <w:r>
            <w:fldChar w:fldCharType="separate"/>
          </w:r>
          <w:r>
            <w:rPr>
              <w:rFonts w:hint="eastAsia" w:ascii="方正小标宋简体" w:hAnsi="方正小标宋简体" w:eastAsia="方正小标宋简体" w:cs="方正小标宋简体"/>
              <w:b/>
            </w:rPr>
            <w:t xml:space="preserve">第一部分 </w:t>
          </w:r>
          <w:r>
            <w:rPr>
              <w:rFonts w:hint="eastAsia" w:ascii="方正小标宋简体" w:hAnsi="方正小标宋简体" w:eastAsia="方正小标宋简体" w:cs="方正小标宋简体"/>
              <w:b/>
              <w:lang w:eastAsia="zh-CN"/>
            </w:rPr>
            <w:t>部门</w:t>
          </w:r>
          <w:r>
            <w:rPr>
              <w:rFonts w:hint="eastAsia" w:ascii="方正小标宋简体" w:hAnsi="方正小标宋简体" w:eastAsia="方正小标宋简体" w:cs="方正小标宋简体"/>
              <w:b/>
            </w:rPr>
            <w:t>概况</w:t>
          </w:r>
          <w:r>
            <w:rPr>
              <w:b/>
            </w:rPr>
            <w:tab/>
          </w:r>
          <w:r>
            <w:rPr>
              <w:b/>
            </w:rPr>
            <w:fldChar w:fldCharType="begin"/>
          </w:r>
          <w:r>
            <w:rPr>
              <w:b/>
            </w:rPr>
            <w:instrText xml:space="preserve"> PAGEREF _Toc17067 \h </w:instrText>
          </w:r>
          <w:r>
            <w:rPr>
              <w:b/>
            </w:rPr>
            <w:fldChar w:fldCharType="separate"/>
          </w:r>
          <w:r>
            <w:rPr>
              <w:b/>
            </w:rPr>
            <w:t>3</w:t>
          </w:r>
          <w:r>
            <w:rPr>
              <w:b/>
            </w:rPr>
            <w:fldChar w:fldCharType="end"/>
          </w:r>
          <w:r>
            <w:rPr>
              <w:b/>
            </w:rPr>
            <w:fldChar w:fldCharType="end"/>
          </w:r>
        </w:p>
        <w:p>
          <w:pPr>
            <w:pStyle w:val="38"/>
            <w:tabs>
              <w:tab w:val="right" w:leader="dot" w:pos="8845"/>
            </w:tabs>
            <w:ind w:left="420"/>
          </w:pPr>
          <w:r>
            <w:fldChar w:fldCharType="begin"/>
          </w:r>
          <w:r>
            <w:instrText xml:space="preserve"> HYPERLINK \l "_Toc13031" </w:instrText>
          </w:r>
          <w:r>
            <w:fldChar w:fldCharType="separate"/>
          </w:r>
          <w:r>
            <w:rPr>
              <w:rFonts w:hint="eastAsia" w:ascii="黑体" w:hAnsi="黑体" w:eastAsia="黑体" w:cs="黑体"/>
            </w:rPr>
            <w:t>一、</w:t>
          </w:r>
          <w:r>
            <w:rPr>
              <w:rFonts w:hint="eastAsia" w:ascii="黑体" w:hAnsi="黑体" w:eastAsia="黑体" w:cs="黑体"/>
              <w:lang w:eastAsia="zh-CN"/>
            </w:rPr>
            <w:t>部门职责</w:t>
          </w:r>
          <w:r>
            <w:tab/>
          </w:r>
          <w:r>
            <w:fldChar w:fldCharType="begin"/>
          </w:r>
          <w:r>
            <w:instrText xml:space="preserve"> PAGEREF _Toc13031 \h </w:instrText>
          </w:r>
          <w:r>
            <w:fldChar w:fldCharType="separate"/>
          </w:r>
          <w:r>
            <w:t>3</w:t>
          </w:r>
          <w:r>
            <w:fldChar w:fldCharType="end"/>
          </w:r>
          <w:r>
            <w:fldChar w:fldCharType="end"/>
          </w:r>
        </w:p>
        <w:p>
          <w:pPr>
            <w:pStyle w:val="38"/>
            <w:tabs>
              <w:tab w:val="right" w:leader="dot" w:pos="8845"/>
            </w:tabs>
            <w:ind w:left="420"/>
            <w:rPr>
              <w:rFonts w:hint="eastAsia" w:eastAsiaTheme="minorEastAsia"/>
              <w:lang w:val="en-US" w:eastAsia="zh-CN"/>
            </w:rPr>
          </w:pPr>
          <w:r>
            <w:fldChar w:fldCharType="begin"/>
          </w:r>
          <w:r>
            <w:instrText xml:space="preserve"> HYPERLINK \l "_Toc13757" </w:instrText>
          </w:r>
          <w:r>
            <w:fldChar w:fldCharType="separate"/>
          </w:r>
          <w:r>
            <w:rPr>
              <w:rFonts w:hint="eastAsia" w:ascii="黑体" w:hAnsi="黑体" w:eastAsia="黑体" w:cs="黑体"/>
              <w:lang w:eastAsia="zh-CN"/>
            </w:rPr>
            <w:t>二</w:t>
          </w:r>
          <w:r>
            <w:rPr>
              <w:rFonts w:ascii="黑体" w:hAnsi="黑体" w:eastAsia="黑体" w:cs="黑体"/>
            </w:rPr>
            <w:t>、机构设置</w:t>
          </w:r>
          <w:r>
            <w:tab/>
          </w:r>
          <w:r>
            <w:rPr>
              <w:rFonts w:hint="eastAsia"/>
              <w:lang w:val="en-US" w:eastAsia="zh-CN"/>
            </w:rPr>
            <w:t>3</w:t>
          </w:r>
          <w:r>
            <w:fldChar w:fldCharType="end"/>
          </w:r>
        </w:p>
        <w:p>
          <w:pPr>
            <w:pStyle w:val="37"/>
            <w:tabs>
              <w:tab w:val="right" w:leader="dot" w:pos="8845"/>
            </w:tabs>
            <w:rPr>
              <w:rFonts w:hint="eastAsia" w:eastAsiaTheme="minorEastAsia"/>
              <w:b/>
              <w:lang w:val="en-US" w:eastAsia="zh-CN"/>
            </w:rPr>
          </w:pPr>
          <w:r>
            <w:fldChar w:fldCharType="begin"/>
          </w:r>
          <w:r>
            <w:instrText xml:space="preserve"> HYPERLINK \l "_Toc1491" </w:instrText>
          </w:r>
          <w:r>
            <w:fldChar w:fldCharType="separate"/>
          </w:r>
          <w:r>
            <w:rPr>
              <w:rFonts w:ascii="方正小标宋简体" w:hAnsi="方正小标宋简体" w:eastAsia="方正小标宋简体" w:cs="方正小标宋简体"/>
              <w:b/>
            </w:rPr>
            <w:t>第二部分</w:t>
          </w:r>
          <w:r>
            <w:rPr>
              <w:rFonts w:hint="eastAsia" w:ascii="方正小标宋简体" w:hAnsi="方正小标宋简体" w:eastAsia="方正小标宋简体" w:cs="方正小标宋简体"/>
              <w:b/>
            </w:rPr>
            <w:t xml:space="preserve">  </w:t>
          </w:r>
          <w:r>
            <w:rPr>
              <w:rFonts w:ascii="方正小标宋简体" w:hAnsi="方正小标宋简体" w:eastAsia="方正小标宋简体" w:cs="方正小标宋简体"/>
              <w:b/>
            </w:rPr>
            <w:t>202</w:t>
          </w:r>
          <w:r>
            <w:rPr>
              <w:rFonts w:hint="eastAsia" w:ascii="方正小标宋简体" w:hAnsi="方正小标宋简体" w:eastAsia="方正小标宋简体" w:cs="方正小标宋简体"/>
              <w:b/>
              <w:lang w:val="en-US" w:eastAsia="zh-CN"/>
            </w:rPr>
            <w:t>2</w:t>
          </w:r>
          <w:r>
            <w:rPr>
              <w:rFonts w:ascii="方正小标宋简体" w:hAnsi="方正小标宋简体" w:eastAsia="方正小标宋简体" w:cs="方正小标宋简体"/>
              <w:b/>
            </w:rPr>
            <w:t>年度</w:t>
          </w:r>
          <w:r>
            <w:rPr>
              <w:rFonts w:hint="eastAsia" w:ascii="方正小标宋简体" w:hAnsi="方正小标宋简体" w:eastAsia="方正小标宋简体" w:cs="方正小标宋简体"/>
              <w:b/>
              <w:lang w:eastAsia="zh-CN"/>
            </w:rPr>
            <w:t>部门</w:t>
          </w:r>
          <w:r>
            <w:rPr>
              <w:rFonts w:ascii="方正小标宋简体" w:hAnsi="方正小标宋简体" w:eastAsia="方正小标宋简体" w:cs="方正小标宋简体"/>
              <w:b/>
            </w:rPr>
            <w:t>决算情况说明</w:t>
          </w:r>
          <w:r>
            <w:rPr>
              <w:b/>
            </w:rPr>
            <w:tab/>
          </w:r>
          <w:r>
            <w:rPr>
              <w:rFonts w:hint="eastAsia"/>
              <w:b/>
              <w:lang w:val="en-US" w:eastAsia="zh-CN"/>
            </w:rPr>
            <w:t>4</w:t>
          </w:r>
          <w:r>
            <w:rPr>
              <w:b/>
            </w:rPr>
            <w:fldChar w:fldCharType="end"/>
          </w:r>
        </w:p>
        <w:p>
          <w:pPr>
            <w:pStyle w:val="38"/>
            <w:tabs>
              <w:tab w:val="right" w:leader="dot" w:pos="8845"/>
            </w:tabs>
            <w:ind w:left="420"/>
            <w:rPr>
              <w:rFonts w:hint="eastAsia" w:eastAsiaTheme="minorEastAsia"/>
              <w:lang w:val="en-US" w:eastAsia="zh-CN"/>
            </w:rPr>
          </w:pPr>
          <w:r>
            <w:fldChar w:fldCharType="begin"/>
          </w:r>
          <w:r>
            <w:instrText xml:space="preserve"> HYPERLINK \l "_Toc10370" </w:instrText>
          </w:r>
          <w:r>
            <w:fldChar w:fldCharType="separate"/>
          </w:r>
          <w:r>
            <w:rPr>
              <w:rFonts w:hint="eastAsia" w:ascii="黑体" w:hAnsi="黑体" w:eastAsia="黑体" w:cs="黑体"/>
            </w:rPr>
            <w:t>一、收入支出决算总体情况说明</w:t>
          </w:r>
          <w:r>
            <w:tab/>
          </w:r>
          <w:r>
            <w:rPr>
              <w:rFonts w:hint="eastAsia"/>
              <w:lang w:val="en-US" w:eastAsia="zh-CN"/>
            </w:rPr>
            <w:t>4</w:t>
          </w:r>
          <w:r>
            <w:fldChar w:fldCharType="end"/>
          </w:r>
        </w:p>
        <w:p>
          <w:pPr>
            <w:pStyle w:val="38"/>
            <w:tabs>
              <w:tab w:val="right" w:leader="dot" w:pos="8845"/>
            </w:tabs>
            <w:ind w:left="420"/>
            <w:rPr>
              <w:rFonts w:hint="eastAsia" w:eastAsiaTheme="minorEastAsia"/>
              <w:lang w:val="en-US" w:eastAsia="zh-CN"/>
            </w:rPr>
          </w:pPr>
          <w:r>
            <w:fldChar w:fldCharType="begin"/>
          </w:r>
          <w:r>
            <w:instrText xml:space="preserve"> HYPERLINK \l "_Toc29072" </w:instrText>
          </w:r>
          <w:r>
            <w:fldChar w:fldCharType="separate"/>
          </w:r>
          <w:r>
            <w:rPr>
              <w:rFonts w:hint="eastAsia" w:ascii="黑体" w:hAnsi="黑体" w:eastAsia="黑体" w:cs="黑体"/>
            </w:rPr>
            <w:t>二、</w:t>
          </w:r>
          <w:r>
            <w:rPr>
              <w:rFonts w:ascii="黑体" w:hAnsi="黑体" w:eastAsia="黑体" w:cs="黑体"/>
            </w:rPr>
            <w:t>收入决算情况说明</w:t>
          </w:r>
          <w:r>
            <w:tab/>
          </w:r>
          <w:r>
            <w:rPr>
              <w:rFonts w:hint="eastAsia"/>
              <w:lang w:val="en-US" w:eastAsia="zh-CN"/>
            </w:rPr>
            <w:t>4</w:t>
          </w:r>
          <w:r>
            <w:fldChar w:fldCharType="end"/>
          </w:r>
        </w:p>
        <w:p>
          <w:pPr>
            <w:pStyle w:val="38"/>
            <w:tabs>
              <w:tab w:val="right" w:leader="dot" w:pos="8845"/>
            </w:tabs>
            <w:ind w:left="420"/>
            <w:rPr>
              <w:rFonts w:hint="eastAsia" w:eastAsiaTheme="minorEastAsia"/>
              <w:lang w:val="en-US" w:eastAsia="zh-CN"/>
            </w:rPr>
          </w:pPr>
          <w:r>
            <w:fldChar w:fldCharType="begin"/>
          </w:r>
          <w:r>
            <w:instrText xml:space="preserve"> HYPERLINK \l "_Toc14067" </w:instrText>
          </w:r>
          <w:r>
            <w:fldChar w:fldCharType="separate"/>
          </w:r>
          <w:r>
            <w:rPr>
              <w:rFonts w:hint="eastAsia" w:ascii="黑体" w:hAnsi="黑体" w:eastAsia="黑体" w:cs="黑体"/>
            </w:rPr>
            <w:t>三、</w:t>
          </w:r>
          <w:r>
            <w:rPr>
              <w:rFonts w:ascii="黑体" w:hAnsi="黑体" w:eastAsia="黑体" w:cs="黑体"/>
            </w:rPr>
            <w:t>支出决算情况说明</w:t>
          </w:r>
          <w:r>
            <w:tab/>
          </w:r>
          <w:r>
            <w:rPr>
              <w:rFonts w:hint="eastAsia"/>
              <w:lang w:val="en-US" w:eastAsia="zh-CN"/>
            </w:rPr>
            <w:t>5</w:t>
          </w:r>
          <w:r>
            <w:fldChar w:fldCharType="end"/>
          </w:r>
        </w:p>
        <w:p>
          <w:pPr>
            <w:pStyle w:val="38"/>
            <w:tabs>
              <w:tab w:val="right" w:leader="dot" w:pos="8845"/>
            </w:tabs>
            <w:ind w:left="420"/>
            <w:rPr>
              <w:rFonts w:hint="eastAsia" w:eastAsiaTheme="minorEastAsia"/>
              <w:lang w:val="en-US" w:eastAsia="zh-CN"/>
            </w:rPr>
          </w:pPr>
          <w:r>
            <w:fldChar w:fldCharType="begin"/>
          </w:r>
          <w:r>
            <w:instrText xml:space="preserve"> HYPERLINK \l "_Toc25538" </w:instrText>
          </w:r>
          <w:r>
            <w:fldChar w:fldCharType="separate"/>
          </w:r>
          <w:r>
            <w:rPr>
              <w:rFonts w:ascii="黑体" w:hAnsi="黑体" w:eastAsia="黑体" w:cs="黑体"/>
            </w:rPr>
            <w:t>四、财政拨款收入支出决算总体情况说明</w:t>
          </w:r>
          <w:r>
            <w:tab/>
          </w:r>
          <w:r>
            <w:rPr>
              <w:rFonts w:hint="eastAsia"/>
              <w:lang w:val="en-US" w:eastAsia="zh-CN"/>
            </w:rPr>
            <w:t>5</w:t>
          </w:r>
          <w:r>
            <w:fldChar w:fldCharType="end"/>
          </w:r>
        </w:p>
        <w:p>
          <w:pPr>
            <w:pStyle w:val="38"/>
            <w:tabs>
              <w:tab w:val="right" w:leader="dot" w:pos="8845"/>
            </w:tabs>
            <w:ind w:left="420"/>
            <w:rPr>
              <w:rFonts w:hint="eastAsia" w:eastAsiaTheme="minorEastAsia"/>
              <w:lang w:val="en-US" w:eastAsia="zh-CN"/>
            </w:rPr>
          </w:pPr>
          <w:r>
            <w:fldChar w:fldCharType="begin"/>
          </w:r>
          <w:r>
            <w:instrText xml:space="preserve"> HYPERLINK \l "_Toc24441" </w:instrText>
          </w:r>
          <w:r>
            <w:fldChar w:fldCharType="separate"/>
          </w:r>
          <w:r>
            <w:rPr>
              <w:rFonts w:ascii="黑体" w:hAnsi="黑体" w:eastAsia="黑体" w:cs="黑体"/>
            </w:rPr>
            <w:t>五、</w:t>
          </w:r>
          <w:r>
            <w:rPr>
              <w:rFonts w:ascii="黑体" w:hAnsi="黑体" w:eastAsia="黑体" w:cs="黑体"/>
              <w:highlight w:val="none"/>
            </w:rPr>
            <w:t>一般公共</w:t>
          </w:r>
          <w:r>
            <w:rPr>
              <w:rFonts w:hint="eastAsia" w:ascii="黑体" w:hAnsi="黑体" w:eastAsia="黑体" w:cs="黑体"/>
              <w:highlight w:val="none"/>
              <w:lang w:eastAsia="zh-CN"/>
            </w:rPr>
            <w:t>预</w:t>
          </w:r>
          <w:r>
            <w:rPr>
              <w:rFonts w:ascii="黑体" w:hAnsi="黑体" w:eastAsia="黑体" w:cs="黑体"/>
              <w:highlight w:val="none"/>
            </w:rPr>
            <w:t>算财政拨款支出决算情况说明</w:t>
          </w:r>
          <w:r>
            <w:tab/>
          </w:r>
          <w:r>
            <w:rPr>
              <w:rFonts w:hint="eastAsia"/>
              <w:lang w:val="en-US" w:eastAsia="zh-CN"/>
            </w:rPr>
            <w:t>6</w:t>
          </w:r>
          <w:r>
            <w:fldChar w:fldCharType="end"/>
          </w:r>
        </w:p>
        <w:p>
          <w:pPr>
            <w:pStyle w:val="38"/>
            <w:tabs>
              <w:tab w:val="right" w:leader="dot" w:pos="8845"/>
            </w:tabs>
            <w:ind w:left="420"/>
            <w:rPr>
              <w:rFonts w:hint="eastAsia" w:eastAsiaTheme="minorEastAsia"/>
              <w:lang w:val="en-US" w:eastAsia="zh-CN"/>
            </w:rPr>
          </w:pPr>
          <w:r>
            <w:fldChar w:fldCharType="begin"/>
          </w:r>
          <w:r>
            <w:instrText xml:space="preserve"> HYPERLINK \l "_Toc3138" </w:instrText>
          </w:r>
          <w:r>
            <w:fldChar w:fldCharType="separate"/>
          </w:r>
          <w:r>
            <w:rPr>
              <w:rFonts w:ascii="黑体" w:hAnsi="黑体" w:eastAsia="黑体" w:cs="黑体"/>
            </w:rPr>
            <w:t>六、</w:t>
          </w:r>
          <w:r>
            <w:rPr>
              <w:rFonts w:ascii="黑体" w:hAnsi="黑体" w:eastAsia="黑体" w:cs="黑体"/>
              <w:highlight w:val="none"/>
            </w:rPr>
            <w:t>一般公共</w:t>
          </w:r>
          <w:r>
            <w:rPr>
              <w:rFonts w:hint="eastAsia" w:ascii="黑体" w:hAnsi="黑体" w:eastAsia="黑体" w:cs="黑体"/>
              <w:highlight w:val="none"/>
              <w:lang w:eastAsia="zh-CN"/>
            </w:rPr>
            <w:t>预算</w:t>
          </w:r>
          <w:r>
            <w:rPr>
              <w:rFonts w:ascii="黑体" w:hAnsi="黑体" w:eastAsia="黑体" w:cs="黑体"/>
              <w:highlight w:val="none"/>
            </w:rPr>
            <w:t>财政拨款基本支出决算情况说</w:t>
          </w:r>
          <w:r>
            <w:rPr>
              <w:rFonts w:ascii="黑体" w:hAnsi="黑体" w:eastAsia="黑体" w:cs="黑体"/>
            </w:rPr>
            <w:t>明</w:t>
          </w:r>
          <w:r>
            <w:tab/>
          </w:r>
          <w:r>
            <w:rPr>
              <w:rFonts w:hint="eastAsia"/>
              <w:lang w:val="en-US" w:eastAsia="zh-CN"/>
            </w:rPr>
            <w:t>1</w:t>
          </w:r>
          <w:r>
            <w:fldChar w:fldCharType="end"/>
          </w:r>
          <w:r>
            <w:rPr>
              <w:rFonts w:hint="eastAsia"/>
              <w:lang w:val="en-US" w:eastAsia="zh-CN"/>
            </w:rPr>
            <w:t>0</w:t>
          </w:r>
        </w:p>
        <w:p>
          <w:pPr>
            <w:pStyle w:val="38"/>
            <w:tabs>
              <w:tab w:val="right" w:leader="dot" w:pos="8845"/>
            </w:tabs>
            <w:ind w:left="420"/>
            <w:rPr>
              <w:rFonts w:hint="eastAsia" w:eastAsiaTheme="minorEastAsia"/>
              <w:lang w:val="en-US" w:eastAsia="zh-CN"/>
            </w:rPr>
          </w:pPr>
          <w:r>
            <w:fldChar w:fldCharType="begin"/>
          </w:r>
          <w:r>
            <w:instrText xml:space="preserve"> HYPERLINK \l "_Toc24779" </w:instrText>
          </w:r>
          <w:r>
            <w:fldChar w:fldCharType="separate"/>
          </w:r>
          <w:r>
            <w:rPr>
              <w:rFonts w:ascii="黑体" w:hAnsi="黑体" w:eastAsia="黑体" w:cs="黑体"/>
            </w:rPr>
            <w:t>七、</w:t>
          </w:r>
          <w:r>
            <w:rPr>
              <w:rFonts w:hint="eastAsia" w:ascii="黑体" w:hAnsi="黑体" w:eastAsia="黑体" w:cs="黑体"/>
              <w:lang w:eastAsia="zh-CN"/>
            </w:rPr>
            <w:t>财政拨款</w:t>
          </w:r>
          <w:r>
            <w:rPr>
              <w:rFonts w:ascii="黑体" w:hAnsi="黑体" w:eastAsia="黑体" w:cs="黑体"/>
            </w:rPr>
            <w:t>“三公”经费支出决算情况说明</w:t>
          </w:r>
          <w:r>
            <w:tab/>
          </w:r>
          <w:r>
            <w:rPr>
              <w:rFonts w:hint="eastAsia"/>
              <w:lang w:val="en-US" w:eastAsia="zh-CN"/>
            </w:rPr>
            <w:t>1</w:t>
          </w:r>
          <w:r>
            <w:fldChar w:fldCharType="end"/>
          </w:r>
          <w:r>
            <w:rPr>
              <w:rFonts w:hint="eastAsia"/>
              <w:lang w:val="en-US" w:eastAsia="zh-CN"/>
            </w:rPr>
            <w:t>0</w:t>
          </w:r>
        </w:p>
        <w:p>
          <w:pPr>
            <w:pStyle w:val="38"/>
            <w:tabs>
              <w:tab w:val="right" w:leader="dot" w:pos="8845"/>
            </w:tabs>
            <w:ind w:left="420"/>
            <w:rPr>
              <w:rFonts w:hint="eastAsia" w:eastAsiaTheme="minorEastAsia"/>
              <w:lang w:val="en-US" w:eastAsia="zh-CN"/>
            </w:rPr>
          </w:pPr>
          <w:r>
            <w:fldChar w:fldCharType="begin"/>
          </w:r>
          <w:r>
            <w:instrText xml:space="preserve"> HYPERLINK \l "_Toc25205" </w:instrText>
          </w:r>
          <w:r>
            <w:fldChar w:fldCharType="separate"/>
          </w:r>
          <w:r>
            <w:rPr>
              <w:rFonts w:ascii="黑体" w:hAnsi="黑体" w:eastAsia="黑体" w:cs="黑体"/>
            </w:rPr>
            <w:t>八、政府性基金</w:t>
          </w:r>
          <w:r>
            <w:rPr>
              <w:rFonts w:hint="eastAsia" w:ascii="黑体" w:hAnsi="黑体" w:eastAsia="黑体" w:cs="黑体"/>
              <w:lang w:eastAsia="zh-CN"/>
            </w:rPr>
            <w:t>预</w:t>
          </w:r>
          <w:r>
            <w:rPr>
              <w:rFonts w:ascii="黑体" w:hAnsi="黑体" w:eastAsia="黑体" w:cs="黑体"/>
            </w:rPr>
            <w:t>算支出决算情况说明</w:t>
          </w:r>
          <w:r>
            <w:tab/>
          </w:r>
          <w:r>
            <w:rPr>
              <w:rFonts w:hint="eastAsia"/>
              <w:lang w:val="en-US" w:eastAsia="zh-CN"/>
            </w:rPr>
            <w:t>1</w:t>
          </w:r>
          <w:r>
            <w:fldChar w:fldCharType="end"/>
          </w:r>
          <w:r>
            <w:rPr>
              <w:rFonts w:hint="eastAsia"/>
              <w:lang w:val="en-US" w:eastAsia="zh-CN"/>
            </w:rPr>
            <w:t>2</w:t>
          </w:r>
        </w:p>
        <w:p>
          <w:pPr>
            <w:pStyle w:val="38"/>
            <w:tabs>
              <w:tab w:val="right" w:leader="dot" w:pos="8845"/>
            </w:tabs>
            <w:ind w:left="420"/>
            <w:rPr>
              <w:rFonts w:hint="eastAsia" w:eastAsiaTheme="minorEastAsia"/>
              <w:lang w:val="en-US" w:eastAsia="zh-CN"/>
            </w:rPr>
          </w:pPr>
          <w:r>
            <w:fldChar w:fldCharType="begin"/>
          </w:r>
          <w:r>
            <w:instrText xml:space="preserve"> HYPERLINK \l "_Toc28630" </w:instrText>
          </w:r>
          <w:r>
            <w:fldChar w:fldCharType="separate"/>
          </w:r>
          <w:r>
            <w:rPr>
              <w:rFonts w:hint="eastAsia" w:ascii="黑体" w:hAnsi="黑体" w:eastAsia="黑体" w:cs="黑体"/>
            </w:rPr>
            <w:t>九、</w:t>
          </w:r>
          <w:r>
            <w:rPr>
              <w:rFonts w:ascii="黑体" w:hAnsi="黑体" w:eastAsia="黑体" w:cs="黑体"/>
            </w:rPr>
            <w:t>国有资本经营</w:t>
          </w:r>
          <w:r>
            <w:rPr>
              <w:rFonts w:hint="eastAsia" w:ascii="黑体" w:hAnsi="黑体" w:eastAsia="黑体" w:cs="黑体"/>
              <w:lang w:eastAsia="zh-CN"/>
            </w:rPr>
            <w:t>预</w:t>
          </w:r>
          <w:r>
            <w:rPr>
              <w:rFonts w:ascii="黑体" w:hAnsi="黑体" w:eastAsia="黑体" w:cs="黑体"/>
            </w:rPr>
            <w:t>算支出决算情况说明</w:t>
          </w:r>
          <w:r>
            <w:tab/>
          </w:r>
          <w:r>
            <w:rPr>
              <w:rFonts w:hint="eastAsia"/>
              <w:lang w:val="en-US" w:eastAsia="zh-CN"/>
            </w:rPr>
            <w:t>1</w:t>
          </w:r>
          <w:r>
            <w:fldChar w:fldCharType="end"/>
          </w:r>
          <w:r>
            <w:rPr>
              <w:rFonts w:hint="eastAsia"/>
              <w:lang w:val="en-US" w:eastAsia="zh-CN"/>
            </w:rPr>
            <w:t>2</w:t>
          </w:r>
        </w:p>
        <w:p>
          <w:pPr>
            <w:pStyle w:val="38"/>
            <w:tabs>
              <w:tab w:val="right" w:leader="dot" w:pos="8845"/>
            </w:tabs>
            <w:ind w:left="420"/>
            <w:rPr>
              <w:rFonts w:hint="eastAsia"/>
              <w:lang w:val="en-US" w:eastAsia="zh-CN"/>
            </w:rPr>
          </w:pPr>
          <w:r>
            <w:fldChar w:fldCharType="begin"/>
          </w:r>
          <w:r>
            <w:instrText xml:space="preserve"> HYPERLINK \l "_Toc6160" </w:instrText>
          </w:r>
          <w:r>
            <w:fldChar w:fldCharType="separate"/>
          </w:r>
          <w:r>
            <w:rPr>
              <w:rFonts w:hint="eastAsia" w:ascii="黑体" w:hAnsi="黑体" w:eastAsia="黑体" w:cs="黑体"/>
            </w:rPr>
            <w:t>十、</w:t>
          </w:r>
          <w:r>
            <w:rPr>
              <w:rFonts w:ascii="黑体" w:hAnsi="黑体" w:eastAsia="黑体" w:cs="黑体"/>
            </w:rPr>
            <w:t>其他重要事项的情况说明</w:t>
          </w:r>
          <w:r>
            <w:tab/>
          </w:r>
          <w:r>
            <w:fldChar w:fldCharType="end"/>
          </w:r>
          <w:r>
            <w:rPr>
              <w:rFonts w:hint="eastAsia"/>
              <w:lang w:val="en-US" w:eastAsia="zh-CN"/>
            </w:rPr>
            <w:t>12</w:t>
          </w:r>
        </w:p>
        <w:p>
          <w:pPr>
            <w:pStyle w:val="38"/>
            <w:tabs>
              <w:tab w:val="right" w:leader="dot" w:pos="8845"/>
            </w:tabs>
            <w:ind w:left="420"/>
            <w:rPr>
              <w:rFonts w:hint="eastAsia"/>
              <w:lang w:val="en-US" w:eastAsia="zh-CN"/>
            </w:rPr>
          </w:pPr>
          <w:r>
            <w:fldChar w:fldCharType="begin"/>
          </w:r>
          <w:r>
            <w:instrText xml:space="preserve"> HYPERLINK \l "_Toc28630" </w:instrText>
          </w:r>
          <w:r>
            <w:fldChar w:fldCharType="separate"/>
          </w:r>
          <w:r>
            <w:rPr>
              <w:rFonts w:hint="eastAsia"/>
              <w:lang w:eastAsia="zh-CN"/>
            </w:rPr>
            <w:t>（</w:t>
          </w:r>
          <w:r>
            <w:rPr>
              <w:rFonts w:hint="eastAsia"/>
              <w:lang w:val="en-US" w:eastAsia="zh-CN"/>
            </w:rPr>
            <w:t>一）</w:t>
          </w:r>
          <w:r>
            <w:rPr>
              <w:rFonts w:hint="eastAsia" w:ascii="黑体" w:hAnsi="黑体" w:eastAsia="黑体" w:cs="黑体"/>
              <w:lang w:eastAsia="zh-CN"/>
            </w:rPr>
            <w:t>机关运行经费支出情况</w:t>
          </w:r>
          <w:r>
            <w:tab/>
          </w:r>
          <w:r>
            <w:rPr>
              <w:rFonts w:hint="eastAsia"/>
              <w:lang w:val="en-US" w:eastAsia="zh-CN"/>
            </w:rPr>
            <w:t>1</w:t>
          </w:r>
          <w:r>
            <w:fldChar w:fldCharType="end"/>
          </w:r>
          <w:r>
            <w:rPr>
              <w:rFonts w:hint="eastAsia"/>
              <w:lang w:val="en-US" w:eastAsia="zh-CN"/>
            </w:rPr>
            <w:t>2</w:t>
          </w:r>
        </w:p>
        <w:p>
          <w:pPr>
            <w:pStyle w:val="38"/>
            <w:tabs>
              <w:tab w:val="right" w:leader="dot" w:pos="8845"/>
            </w:tabs>
            <w:ind w:left="420"/>
            <w:rPr>
              <w:rFonts w:hint="default"/>
              <w:lang w:val="en-US" w:eastAsia="zh-CN"/>
            </w:rPr>
          </w:pPr>
          <w:r>
            <w:fldChar w:fldCharType="begin"/>
          </w:r>
          <w:r>
            <w:instrText xml:space="preserve"> HYPERLINK \l "_Toc28630" </w:instrText>
          </w:r>
          <w:r>
            <w:fldChar w:fldCharType="separate"/>
          </w:r>
          <w:r>
            <w:rPr>
              <w:rFonts w:hint="eastAsia"/>
              <w:lang w:eastAsia="zh-CN"/>
            </w:rPr>
            <w:t>（</w:t>
          </w:r>
          <w:r>
            <w:rPr>
              <w:rFonts w:hint="eastAsia"/>
              <w:lang w:val="en-US" w:eastAsia="zh-CN"/>
            </w:rPr>
            <w:t>二）</w:t>
          </w:r>
          <w:r>
            <w:rPr>
              <w:rFonts w:hint="eastAsia" w:ascii="黑体" w:hAnsi="黑体" w:eastAsia="黑体" w:cs="黑体"/>
              <w:lang w:eastAsia="zh-CN"/>
            </w:rPr>
            <w:t>政府采购支出情况</w:t>
          </w:r>
          <w:r>
            <w:tab/>
          </w:r>
          <w:r>
            <w:rPr>
              <w:rFonts w:hint="eastAsia"/>
              <w:lang w:val="en-US" w:eastAsia="zh-CN"/>
            </w:rPr>
            <w:t>1</w:t>
          </w:r>
          <w:r>
            <w:fldChar w:fldCharType="end"/>
          </w:r>
          <w:r>
            <w:rPr>
              <w:rFonts w:hint="eastAsia"/>
              <w:lang w:val="en-US" w:eastAsia="zh-CN"/>
            </w:rPr>
            <w:t>2</w:t>
          </w:r>
        </w:p>
        <w:p>
          <w:pPr>
            <w:pStyle w:val="38"/>
            <w:tabs>
              <w:tab w:val="right" w:leader="dot" w:pos="8845"/>
            </w:tabs>
            <w:ind w:left="420"/>
            <w:rPr>
              <w:rFonts w:hint="default"/>
              <w:lang w:val="en-US" w:eastAsia="zh-CN"/>
            </w:rPr>
          </w:pPr>
          <w:r>
            <w:fldChar w:fldCharType="begin"/>
          </w:r>
          <w:r>
            <w:instrText xml:space="preserve"> HYPERLINK \l "_Toc28630" </w:instrText>
          </w:r>
          <w:r>
            <w:fldChar w:fldCharType="separate"/>
          </w:r>
          <w:r>
            <w:rPr>
              <w:rFonts w:hint="eastAsia"/>
              <w:lang w:eastAsia="zh-CN"/>
            </w:rPr>
            <w:t>（</w:t>
          </w:r>
          <w:r>
            <w:rPr>
              <w:rFonts w:hint="eastAsia"/>
              <w:lang w:val="en-US" w:eastAsia="zh-CN"/>
            </w:rPr>
            <w:t>三）</w:t>
          </w:r>
          <w:r>
            <w:rPr>
              <w:rFonts w:hint="eastAsia" w:ascii="黑体" w:hAnsi="黑体" w:eastAsia="黑体" w:cs="黑体"/>
              <w:lang w:eastAsia="zh-CN"/>
            </w:rPr>
            <w:t>国有资产占有使用情况</w:t>
          </w:r>
          <w:r>
            <w:tab/>
          </w:r>
          <w:r>
            <w:rPr>
              <w:rFonts w:hint="eastAsia"/>
              <w:lang w:val="en-US" w:eastAsia="zh-CN"/>
            </w:rPr>
            <w:t>1</w:t>
          </w:r>
          <w:r>
            <w:fldChar w:fldCharType="end"/>
          </w:r>
          <w:r>
            <w:rPr>
              <w:rFonts w:hint="eastAsia"/>
              <w:lang w:val="en-US" w:eastAsia="zh-CN"/>
            </w:rPr>
            <w:t>2</w:t>
          </w:r>
        </w:p>
        <w:p>
          <w:pPr>
            <w:pStyle w:val="38"/>
            <w:tabs>
              <w:tab w:val="right" w:leader="dot" w:pos="8845"/>
            </w:tabs>
            <w:ind w:left="420"/>
            <w:rPr>
              <w:rFonts w:hint="default"/>
              <w:lang w:val="en-US" w:eastAsia="zh-CN"/>
            </w:rPr>
          </w:pPr>
          <w:r>
            <w:fldChar w:fldCharType="begin"/>
          </w:r>
          <w:r>
            <w:instrText xml:space="preserve"> HYPERLINK \l "_Toc28630" </w:instrText>
          </w:r>
          <w:r>
            <w:fldChar w:fldCharType="separate"/>
          </w:r>
          <w:r>
            <w:rPr>
              <w:rFonts w:hint="eastAsia"/>
              <w:lang w:eastAsia="zh-CN"/>
            </w:rPr>
            <w:t>（</w:t>
          </w:r>
          <w:r>
            <w:rPr>
              <w:rFonts w:hint="eastAsia"/>
              <w:lang w:val="en-US" w:eastAsia="zh-CN"/>
            </w:rPr>
            <w:t>四）</w:t>
          </w:r>
          <w:r>
            <w:rPr>
              <w:rFonts w:hint="eastAsia" w:ascii="黑体" w:hAnsi="黑体" w:eastAsia="黑体" w:cs="黑体"/>
              <w:lang w:eastAsia="zh-CN"/>
            </w:rPr>
            <w:t>预算绩效管理情况</w:t>
          </w:r>
          <w:r>
            <w:tab/>
          </w:r>
          <w:r>
            <w:rPr>
              <w:rFonts w:hint="eastAsia"/>
              <w:lang w:val="en-US" w:eastAsia="zh-CN"/>
            </w:rPr>
            <w:t>1</w:t>
          </w:r>
          <w:r>
            <w:fldChar w:fldCharType="end"/>
          </w:r>
          <w:r>
            <w:rPr>
              <w:rFonts w:hint="eastAsia"/>
              <w:lang w:val="en-US" w:eastAsia="zh-CN"/>
            </w:rPr>
            <w:t>2</w:t>
          </w:r>
        </w:p>
        <w:p>
          <w:pPr>
            <w:pStyle w:val="37"/>
            <w:tabs>
              <w:tab w:val="right" w:leader="dot" w:pos="8845"/>
            </w:tabs>
            <w:rPr>
              <w:rFonts w:hint="eastAsia" w:eastAsiaTheme="minorEastAsia"/>
              <w:b/>
              <w:lang w:val="en-US" w:eastAsia="zh-CN"/>
            </w:rPr>
          </w:pPr>
          <w:r>
            <w:fldChar w:fldCharType="begin"/>
          </w:r>
          <w:r>
            <w:instrText xml:space="preserve"> HYPERLINK \l "_Toc8447" </w:instrText>
          </w:r>
          <w:r>
            <w:fldChar w:fldCharType="separate"/>
          </w:r>
          <w:r>
            <w:rPr>
              <w:rFonts w:hint="eastAsia" w:ascii="方正小标宋简体" w:hAnsi="方正小标宋简体" w:eastAsia="方正小标宋简体" w:cs="方正小标宋简体"/>
              <w:b/>
            </w:rPr>
            <w:t>第</w:t>
          </w:r>
          <w:r>
            <w:rPr>
              <w:rFonts w:hint="eastAsia" w:ascii="方正小标宋简体" w:hAnsi="方正小标宋简体" w:eastAsia="方正小标宋简体" w:cs="方正小标宋简体"/>
              <w:b/>
              <w:lang w:eastAsia="zh-CN"/>
            </w:rPr>
            <w:t>三</w:t>
          </w:r>
          <w:r>
            <w:rPr>
              <w:rFonts w:hint="eastAsia" w:ascii="方正小标宋简体" w:hAnsi="方正小标宋简体" w:eastAsia="方正小标宋简体" w:cs="方正小标宋简体"/>
              <w:b/>
            </w:rPr>
            <w:t xml:space="preserve">部分  </w:t>
          </w:r>
          <w:r>
            <w:rPr>
              <w:rFonts w:ascii="方正小标宋简体" w:hAnsi="方正小标宋简体" w:eastAsia="方正小标宋简体" w:cs="方正小标宋简体"/>
              <w:b/>
            </w:rPr>
            <w:t>名词解释</w:t>
          </w:r>
          <w:r>
            <w:rPr>
              <w:b/>
            </w:rPr>
            <w:tab/>
          </w:r>
          <w:r>
            <w:rPr>
              <w:rFonts w:hint="eastAsia"/>
              <w:b/>
              <w:lang w:val="en-US" w:eastAsia="zh-CN"/>
            </w:rPr>
            <w:t>1</w:t>
          </w:r>
          <w:r>
            <w:rPr>
              <w:b/>
            </w:rPr>
            <w:fldChar w:fldCharType="end"/>
          </w:r>
          <w:r>
            <w:rPr>
              <w:rFonts w:hint="eastAsia"/>
              <w:b/>
              <w:lang w:val="en-US" w:eastAsia="zh-CN"/>
            </w:rPr>
            <w:t>4</w:t>
          </w:r>
        </w:p>
        <w:p>
          <w:pPr>
            <w:pStyle w:val="37"/>
            <w:tabs>
              <w:tab w:val="right" w:leader="dot" w:pos="8845"/>
            </w:tabs>
            <w:rPr>
              <w:rFonts w:hint="eastAsia" w:eastAsiaTheme="minorEastAsia"/>
              <w:b/>
              <w:lang w:val="en-US" w:eastAsia="zh-CN"/>
            </w:rPr>
          </w:pPr>
          <w:r>
            <w:fldChar w:fldCharType="begin"/>
          </w:r>
          <w:r>
            <w:instrText xml:space="preserve"> HYPERLINK \l "_Toc15353" </w:instrText>
          </w:r>
          <w:r>
            <w:fldChar w:fldCharType="separate"/>
          </w:r>
          <w:r>
            <w:rPr>
              <w:rFonts w:ascii="方正小标宋简体" w:hAnsi="方正小标宋简体" w:eastAsia="方正小标宋简体" w:cs="方正小标宋简体"/>
              <w:b/>
            </w:rPr>
            <w:t>第四部分</w:t>
          </w:r>
          <w:r>
            <w:rPr>
              <w:rFonts w:hint="eastAsia" w:ascii="方正小标宋简体" w:hAnsi="方正小标宋简体" w:eastAsia="方正小标宋简体" w:cs="方正小标宋简体"/>
              <w:b/>
            </w:rPr>
            <w:t xml:space="preserve">  </w:t>
          </w:r>
          <w:r>
            <w:rPr>
              <w:rFonts w:ascii="方正小标宋简体" w:hAnsi="方正小标宋简体" w:eastAsia="方正小标宋简体" w:cs="方正小标宋简体"/>
              <w:b/>
            </w:rPr>
            <w:t>附件</w:t>
          </w:r>
          <w:r>
            <w:rPr>
              <w:b/>
            </w:rPr>
            <w:tab/>
          </w:r>
          <w:r>
            <w:rPr>
              <w:rFonts w:hint="eastAsia"/>
              <w:b/>
              <w:lang w:val="en-US" w:eastAsia="zh-CN"/>
            </w:rPr>
            <w:t>1</w:t>
          </w:r>
          <w:r>
            <w:rPr>
              <w:b/>
            </w:rPr>
            <w:fldChar w:fldCharType="end"/>
          </w:r>
          <w:r>
            <w:rPr>
              <w:rFonts w:hint="eastAsia"/>
              <w:b/>
              <w:lang w:val="en-US" w:eastAsia="zh-CN"/>
            </w:rPr>
            <w:t>8</w:t>
          </w:r>
        </w:p>
        <w:p>
          <w:pPr>
            <w:pStyle w:val="37"/>
            <w:tabs>
              <w:tab w:val="right" w:leader="dot" w:pos="8845"/>
            </w:tabs>
            <w:rPr>
              <w:rFonts w:hint="eastAsia" w:eastAsiaTheme="minorEastAsia"/>
              <w:b/>
              <w:lang w:val="en-US" w:eastAsia="zh-CN"/>
            </w:rPr>
          </w:pPr>
          <w:r>
            <w:fldChar w:fldCharType="begin"/>
          </w:r>
          <w:r>
            <w:instrText xml:space="preserve"> HYPERLINK \l "_Toc25911" </w:instrText>
          </w:r>
          <w:r>
            <w:fldChar w:fldCharType="separate"/>
          </w:r>
          <w:r>
            <w:rPr>
              <w:rFonts w:ascii="方正小标宋简体" w:hAnsi="方正小标宋简体" w:eastAsia="方正小标宋简体" w:cs="方正小标宋简体"/>
              <w:b/>
            </w:rPr>
            <w:t>第五部分</w:t>
          </w:r>
          <w:r>
            <w:rPr>
              <w:rFonts w:hint="eastAsia" w:ascii="方正小标宋简体" w:hAnsi="方正小标宋简体" w:eastAsia="方正小标宋简体" w:cs="方正小标宋简体"/>
              <w:b/>
            </w:rPr>
            <w:t xml:space="preserve">  </w:t>
          </w:r>
          <w:r>
            <w:rPr>
              <w:rFonts w:ascii="方正小标宋简体" w:hAnsi="方正小标宋简体" w:eastAsia="方正小标宋简体" w:cs="方正小标宋简体"/>
              <w:b/>
            </w:rPr>
            <w:t>附表</w:t>
          </w:r>
          <w:r>
            <w:rPr>
              <w:b/>
            </w:rPr>
            <w:tab/>
          </w:r>
          <w:r>
            <w:rPr>
              <w:rFonts w:hint="eastAsia"/>
              <w:b/>
              <w:lang w:val="en-US" w:eastAsia="zh-CN"/>
            </w:rPr>
            <w:t>6</w:t>
          </w:r>
          <w:r>
            <w:rPr>
              <w:b/>
            </w:rPr>
            <w:fldChar w:fldCharType="end"/>
          </w:r>
          <w:r>
            <w:rPr>
              <w:rFonts w:hint="eastAsia"/>
              <w:b/>
              <w:lang w:val="en-US" w:eastAsia="zh-CN"/>
            </w:rPr>
            <w:t>1</w:t>
          </w:r>
        </w:p>
        <w:p>
          <w:pPr>
            <w:pStyle w:val="38"/>
            <w:tabs>
              <w:tab w:val="right" w:leader="dot" w:pos="8845"/>
            </w:tabs>
            <w:ind w:left="420"/>
            <w:rPr>
              <w:rFonts w:hint="eastAsia" w:eastAsiaTheme="minorEastAsia"/>
              <w:lang w:val="en-US" w:eastAsia="zh-CN"/>
            </w:rPr>
          </w:pPr>
          <w:r>
            <w:fldChar w:fldCharType="begin"/>
          </w:r>
          <w:r>
            <w:instrText xml:space="preserve"> HYPERLINK \l "_Toc21311" </w:instrText>
          </w:r>
          <w:r>
            <w:fldChar w:fldCharType="separate"/>
          </w:r>
          <w:r>
            <w:rPr>
              <w:rFonts w:ascii="黑体" w:hAnsi="黑体" w:eastAsia="黑体" w:cs="黑体"/>
            </w:rPr>
            <w:t>一、收入支出决算总表</w:t>
          </w:r>
          <w:r>
            <w:tab/>
          </w:r>
          <w:r>
            <w:rPr>
              <w:rFonts w:hint="eastAsia"/>
              <w:lang w:val="en-US" w:eastAsia="zh-CN"/>
            </w:rPr>
            <w:t>6</w:t>
          </w:r>
          <w:r>
            <w:fldChar w:fldCharType="end"/>
          </w:r>
          <w:r>
            <w:rPr>
              <w:rFonts w:hint="eastAsia"/>
              <w:lang w:val="en-US" w:eastAsia="zh-CN"/>
            </w:rPr>
            <w:t>1</w:t>
          </w:r>
        </w:p>
        <w:p>
          <w:pPr>
            <w:pStyle w:val="38"/>
            <w:tabs>
              <w:tab w:val="right" w:leader="dot" w:pos="8845"/>
            </w:tabs>
            <w:ind w:left="420"/>
            <w:rPr>
              <w:rFonts w:hint="eastAsia" w:eastAsiaTheme="minorEastAsia"/>
              <w:lang w:val="en-US" w:eastAsia="zh-CN"/>
            </w:rPr>
          </w:pPr>
          <w:r>
            <w:fldChar w:fldCharType="begin"/>
          </w:r>
          <w:r>
            <w:instrText xml:space="preserve"> HYPERLINK \l "_Toc26703" </w:instrText>
          </w:r>
          <w:r>
            <w:fldChar w:fldCharType="separate"/>
          </w:r>
          <w:r>
            <w:rPr>
              <w:rFonts w:ascii="黑体" w:hAnsi="黑体" w:eastAsia="黑体" w:cs="黑体"/>
            </w:rPr>
            <w:t>二、收入决算表</w:t>
          </w:r>
          <w:r>
            <w:tab/>
          </w:r>
          <w:r>
            <w:rPr>
              <w:rFonts w:hint="eastAsia"/>
              <w:lang w:val="en-US" w:eastAsia="zh-CN"/>
            </w:rPr>
            <w:t>6</w:t>
          </w:r>
          <w:r>
            <w:fldChar w:fldCharType="end"/>
          </w:r>
          <w:r>
            <w:rPr>
              <w:rFonts w:hint="eastAsia"/>
              <w:lang w:val="en-US" w:eastAsia="zh-CN"/>
            </w:rPr>
            <w:t>1</w:t>
          </w:r>
        </w:p>
        <w:p>
          <w:pPr>
            <w:pStyle w:val="38"/>
            <w:tabs>
              <w:tab w:val="right" w:leader="dot" w:pos="8845"/>
            </w:tabs>
            <w:ind w:left="420"/>
            <w:rPr>
              <w:rFonts w:hint="eastAsia" w:eastAsiaTheme="minorEastAsia"/>
              <w:lang w:val="en-US" w:eastAsia="zh-CN"/>
            </w:rPr>
          </w:pPr>
          <w:r>
            <w:fldChar w:fldCharType="begin"/>
          </w:r>
          <w:r>
            <w:instrText xml:space="preserve"> HYPERLINK \l "_Toc1815" </w:instrText>
          </w:r>
          <w:r>
            <w:fldChar w:fldCharType="separate"/>
          </w:r>
          <w:r>
            <w:rPr>
              <w:rFonts w:ascii="黑体" w:hAnsi="黑体" w:eastAsia="黑体" w:cs="黑体"/>
            </w:rPr>
            <w:t>三、支出决算表</w:t>
          </w:r>
          <w:r>
            <w:tab/>
          </w:r>
          <w:r>
            <w:rPr>
              <w:rFonts w:hint="eastAsia"/>
              <w:lang w:val="en-US" w:eastAsia="zh-CN"/>
            </w:rPr>
            <w:t>6</w:t>
          </w:r>
          <w:r>
            <w:fldChar w:fldCharType="end"/>
          </w:r>
          <w:r>
            <w:rPr>
              <w:rFonts w:hint="eastAsia"/>
              <w:lang w:val="en-US" w:eastAsia="zh-CN"/>
            </w:rPr>
            <w:t>1</w:t>
          </w:r>
        </w:p>
        <w:p>
          <w:pPr>
            <w:pStyle w:val="38"/>
            <w:tabs>
              <w:tab w:val="right" w:leader="dot" w:pos="8845"/>
            </w:tabs>
            <w:ind w:left="420"/>
            <w:rPr>
              <w:rFonts w:hint="eastAsia" w:eastAsiaTheme="minorEastAsia"/>
              <w:lang w:val="en-US" w:eastAsia="zh-CN"/>
            </w:rPr>
          </w:pPr>
          <w:r>
            <w:fldChar w:fldCharType="begin"/>
          </w:r>
          <w:r>
            <w:instrText xml:space="preserve"> HYPERLINK \l "_Toc24200" </w:instrText>
          </w:r>
          <w:r>
            <w:fldChar w:fldCharType="separate"/>
          </w:r>
          <w:r>
            <w:rPr>
              <w:rFonts w:ascii="黑体" w:hAnsi="黑体" w:eastAsia="黑体" w:cs="黑体"/>
            </w:rPr>
            <w:t>四、财政拨款收入支出决算总表</w:t>
          </w:r>
          <w:r>
            <w:tab/>
          </w:r>
          <w:r>
            <w:rPr>
              <w:rFonts w:hint="eastAsia"/>
              <w:lang w:val="en-US" w:eastAsia="zh-CN"/>
            </w:rPr>
            <w:t>6</w:t>
          </w:r>
          <w:r>
            <w:fldChar w:fldCharType="end"/>
          </w:r>
          <w:r>
            <w:rPr>
              <w:rFonts w:hint="eastAsia"/>
              <w:lang w:val="en-US" w:eastAsia="zh-CN"/>
            </w:rPr>
            <w:t>1</w:t>
          </w:r>
        </w:p>
        <w:p>
          <w:pPr>
            <w:pStyle w:val="38"/>
            <w:tabs>
              <w:tab w:val="right" w:leader="dot" w:pos="8845"/>
            </w:tabs>
            <w:ind w:left="420"/>
            <w:rPr>
              <w:rFonts w:hint="eastAsia" w:eastAsiaTheme="minorEastAsia"/>
              <w:lang w:val="en-US" w:eastAsia="zh-CN"/>
            </w:rPr>
          </w:pPr>
          <w:r>
            <w:fldChar w:fldCharType="begin"/>
          </w:r>
          <w:r>
            <w:instrText xml:space="preserve"> HYPERLINK \l "_Toc5066" </w:instrText>
          </w:r>
          <w:r>
            <w:fldChar w:fldCharType="separate"/>
          </w:r>
          <w:r>
            <w:rPr>
              <w:rFonts w:ascii="黑体" w:hAnsi="黑体" w:eastAsia="黑体" w:cs="黑体"/>
            </w:rPr>
            <w:t>五、财政拨款支出决算明细表</w:t>
          </w:r>
          <w:r>
            <w:tab/>
          </w:r>
          <w:r>
            <w:rPr>
              <w:rFonts w:hint="eastAsia"/>
              <w:lang w:val="en-US" w:eastAsia="zh-CN"/>
            </w:rPr>
            <w:t>6</w:t>
          </w:r>
          <w:r>
            <w:fldChar w:fldCharType="end"/>
          </w:r>
          <w:r>
            <w:rPr>
              <w:rFonts w:hint="eastAsia"/>
              <w:lang w:val="en-US" w:eastAsia="zh-CN"/>
            </w:rPr>
            <w:t>1</w:t>
          </w:r>
        </w:p>
        <w:p>
          <w:pPr>
            <w:pStyle w:val="38"/>
            <w:tabs>
              <w:tab w:val="right" w:leader="dot" w:pos="8845"/>
            </w:tabs>
            <w:ind w:left="420"/>
            <w:rPr>
              <w:rFonts w:hint="eastAsia" w:eastAsiaTheme="minorEastAsia"/>
              <w:lang w:val="en-US" w:eastAsia="zh-CN"/>
            </w:rPr>
          </w:pPr>
          <w:r>
            <w:fldChar w:fldCharType="begin"/>
          </w:r>
          <w:r>
            <w:instrText xml:space="preserve"> HYPERLINK \l "_Toc31860" </w:instrText>
          </w:r>
          <w:r>
            <w:fldChar w:fldCharType="separate"/>
          </w:r>
          <w:r>
            <w:rPr>
              <w:rFonts w:ascii="黑体" w:hAnsi="黑体" w:eastAsia="黑体" w:cs="黑体"/>
            </w:rPr>
            <w:t>六、一般公共</w:t>
          </w:r>
          <w:r>
            <w:rPr>
              <w:rFonts w:hint="eastAsia" w:ascii="黑体" w:hAnsi="黑体" w:eastAsia="黑体" w:cs="黑体"/>
              <w:lang w:eastAsia="zh-CN"/>
            </w:rPr>
            <w:t>预</w:t>
          </w:r>
          <w:r>
            <w:rPr>
              <w:rFonts w:ascii="黑体" w:hAnsi="黑体" w:eastAsia="黑体" w:cs="黑体"/>
            </w:rPr>
            <w:t>算财政拨款支出决算表</w:t>
          </w:r>
          <w:r>
            <w:tab/>
          </w:r>
          <w:r>
            <w:rPr>
              <w:rFonts w:hint="eastAsia"/>
              <w:lang w:val="en-US" w:eastAsia="zh-CN"/>
            </w:rPr>
            <w:t>6</w:t>
          </w:r>
          <w:r>
            <w:fldChar w:fldCharType="end"/>
          </w:r>
          <w:r>
            <w:rPr>
              <w:rFonts w:hint="eastAsia"/>
              <w:lang w:val="en-US" w:eastAsia="zh-CN"/>
            </w:rPr>
            <w:t>1</w:t>
          </w:r>
        </w:p>
        <w:p>
          <w:pPr>
            <w:pStyle w:val="38"/>
            <w:tabs>
              <w:tab w:val="right" w:leader="dot" w:pos="8845"/>
            </w:tabs>
            <w:ind w:left="420"/>
            <w:rPr>
              <w:rFonts w:hint="eastAsia" w:eastAsiaTheme="minorEastAsia"/>
              <w:lang w:val="en-US" w:eastAsia="zh-CN"/>
            </w:rPr>
          </w:pPr>
          <w:r>
            <w:fldChar w:fldCharType="begin"/>
          </w:r>
          <w:r>
            <w:instrText xml:space="preserve"> HYPERLINK \l "_Toc14228" </w:instrText>
          </w:r>
          <w:r>
            <w:fldChar w:fldCharType="separate"/>
          </w:r>
          <w:r>
            <w:rPr>
              <w:rFonts w:ascii="黑体" w:hAnsi="黑体" w:eastAsia="黑体" w:cs="黑体"/>
            </w:rPr>
            <w:t>七、一般公共</w:t>
          </w:r>
          <w:r>
            <w:rPr>
              <w:rFonts w:hint="eastAsia" w:ascii="黑体" w:hAnsi="黑体" w:eastAsia="黑体" w:cs="黑体"/>
              <w:lang w:eastAsia="zh-CN"/>
            </w:rPr>
            <w:t>预</w:t>
          </w:r>
          <w:r>
            <w:rPr>
              <w:rFonts w:ascii="黑体" w:hAnsi="黑体" w:eastAsia="黑体" w:cs="黑体"/>
            </w:rPr>
            <w:t>算财政拨款支出决算明细表</w:t>
          </w:r>
          <w:r>
            <w:tab/>
          </w:r>
          <w:r>
            <w:rPr>
              <w:rFonts w:hint="eastAsia"/>
              <w:lang w:val="en-US" w:eastAsia="zh-CN"/>
            </w:rPr>
            <w:t>6</w:t>
          </w:r>
          <w:r>
            <w:fldChar w:fldCharType="end"/>
          </w:r>
          <w:r>
            <w:rPr>
              <w:rFonts w:hint="eastAsia"/>
              <w:lang w:val="en-US" w:eastAsia="zh-CN"/>
            </w:rPr>
            <w:t>1</w:t>
          </w:r>
        </w:p>
        <w:p>
          <w:pPr>
            <w:pStyle w:val="38"/>
            <w:tabs>
              <w:tab w:val="right" w:leader="dot" w:pos="8845"/>
            </w:tabs>
            <w:ind w:left="420"/>
            <w:rPr>
              <w:rFonts w:hint="eastAsia" w:eastAsiaTheme="minorEastAsia"/>
              <w:lang w:val="en-US" w:eastAsia="zh-CN"/>
            </w:rPr>
          </w:pPr>
          <w:r>
            <w:fldChar w:fldCharType="begin"/>
          </w:r>
          <w:r>
            <w:instrText xml:space="preserve"> HYPERLINK \l "_Toc15245" </w:instrText>
          </w:r>
          <w:r>
            <w:fldChar w:fldCharType="separate"/>
          </w:r>
          <w:r>
            <w:rPr>
              <w:rFonts w:ascii="黑体" w:hAnsi="黑体" w:eastAsia="黑体" w:cs="黑体"/>
            </w:rPr>
            <w:t>八、一般公共</w:t>
          </w:r>
          <w:r>
            <w:rPr>
              <w:rFonts w:hint="eastAsia" w:ascii="黑体" w:hAnsi="黑体" w:eastAsia="黑体" w:cs="黑体"/>
              <w:lang w:eastAsia="zh-CN"/>
            </w:rPr>
            <w:t>预</w:t>
          </w:r>
          <w:r>
            <w:rPr>
              <w:rFonts w:ascii="黑体" w:hAnsi="黑体" w:eastAsia="黑体" w:cs="黑体"/>
            </w:rPr>
            <w:t>算财政拨款基本支出决算表</w:t>
          </w:r>
          <w:r>
            <w:tab/>
          </w:r>
          <w:r>
            <w:rPr>
              <w:rFonts w:hint="eastAsia"/>
              <w:lang w:val="en-US" w:eastAsia="zh-CN"/>
            </w:rPr>
            <w:t>6</w:t>
          </w:r>
          <w:r>
            <w:fldChar w:fldCharType="end"/>
          </w:r>
          <w:r>
            <w:rPr>
              <w:rFonts w:hint="eastAsia"/>
              <w:lang w:val="en-US" w:eastAsia="zh-CN"/>
            </w:rPr>
            <w:t>1</w:t>
          </w:r>
        </w:p>
        <w:p>
          <w:pPr>
            <w:pStyle w:val="38"/>
            <w:tabs>
              <w:tab w:val="right" w:leader="dot" w:pos="8845"/>
            </w:tabs>
            <w:ind w:left="420"/>
            <w:rPr>
              <w:rFonts w:hint="eastAsia" w:eastAsiaTheme="minorEastAsia"/>
              <w:lang w:val="en-US" w:eastAsia="zh-CN"/>
            </w:rPr>
          </w:pPr>
          <w:r>
            <w:fldChar w:fldCharType="begin"/>
          </w:r>
          <w:r>
            <w:instrText xml:space="preserve"> HYPERLINK \l "_Toc4491" </w:instrText>
          </w:r>
          <w:r>
            <w:fldChar w:fldCharType="separate"/>
          </w:r>
          <w:r>
            <w:rPr>
              <w:rFonts w:ascii="黑体" w:hAnsi="黑体" w:eastAsia="黑体" w:cs="黑体"/>
            </w:rPr>
            <w:t>九、一般公共</w:t>
          </w:r>
          <w:r>
            <w:rPr>
              <w:rFonts w:hint="eastAsia" w:ascii="黑体" w:hAnsi="黑体" w:eastAsia="黑体" w:cs="黑体"/>
              <w:lang w:eastAsia="zh-CN"/>
            </w:rPr>
            <w:t>预</w:t>
          </w:r>
          <w:r>
            <w:rPr>
              <w:rFonts w:ascii="黑体" w:hAnsi="黑体" w:eastAsia="黑体" w:cs="黑体"/>
            </w:rPr>
            <w:t>算财政拨款项目支出决算表</w:t>
          </w:r>
          <w:r>
            <w:tab/>
          </w:r>
          <w:r>
            <w:rPr>
              <w:rFonts w:hint="eastAsia"/>
              <w:lang w:val="en-US" w:eastAsia="zh-CN"/>
            </w:rPr>
            <w:t>6</w:t>
          </w:r>
          <w:r>
            <w:fldChar w:fldCharType="end"/>
          </w:r>
          <w:r>
            <w:rPr>
              <w:rFonts w:hint="eastAsia"/>
              <w:lang w:val="en-US" w:eastAsia="zh-CN"/>
            </w:rPr>
            <w:t>1</w:t>
          </w:r>
        </w:p>
        <w:p>
          <w:pPr>
            <w:pStyle w:val="38"/>
            <w:tabs>
              <w:tab w:val="right" w:leader="dot" w:pos="8845"/>
            </w:tabs>
            <w:ind w:left="420"/>
            <w:rPr>
              <w:rFonts w:hint="eastAsia" w:eastAsiaTheme="minorEastAsia"/>
              <w:lang w:val="en-US" w:eastAsia="zh-CN"/>
            </w:rPr>
          </w:pPr>
          <w:r>
            <w:fldChar w:fldCharType="begin"/>
          </w:r>
          <w:r>
            <w:instrText xml:space="preserve"> HYPERLINK \l "_Toc16547" </w:instrText>
          </w:r>
          <w:r>
            <w:fldChar w:fldCharType="separate"/>
          </w:r>
          <w:r>
            <w:rPr>
              <w:rFonts w:ascii="黑体" w:hAnsi="黑体" w:eastAsia="黑体" w:cs="黑体"/>
            </w:rPr>
            <w:t>十、政府性基金</w:t>
          </w:r>
          <w:r>
            <w:rPr>
              <w:rFonts w:hint="eastAsia" w:ascii="黑体" w:hAnsi="黑体" w:eastAsia="黑体" w:cs="黑体"/>
              <w:lang w:eastAsia="zh-CN"/>
            </w:rPr>
            <w:t>预</w:t>
          </w:r>
          <w:r>
            <w:rPr>
              <w:rFonts w:ascii="黑体" w:hAnsi="黑体" w:eastAsia="黑体" w:cs="黑体"/>
            </w:rPr>
            <w:t>算财政拨款收入支出决算表</w:t>
          </w:r>
          <w:r>
            <w:tab/>
          </w:r>
          <w:r>
            <w:rPr>
              <w:rFonts w:hint="eastAsia"/>
              <w:lang w:val="en-US" w:eastAsia="zh-CN"/>
            </w:rPr>
            <w:t>6</w:t>
          </w:r>
          <w:r>
            <w:fldChar w:fldCharType="end"/>
          </w:r>
          <w:r>
            <w:rPr>
              <w:rFonts w:hint="eastAsia"/>
              <w:lang w:val="en-US" w:eastAsia="zh-CN"/>
            </w:rPr>
            <w:t>1</w:t>
          </w:r>
        </w:p>
        <w:p>
          <w:pPr>
            <w:pStyle w:val="38"/>
            <w:tabs>
              <w:tab w:val="right" w:leader="dot" w:pos="8845"/>
            </w:tabs>
            <w:ind w:left="420"/>
            <w:rPr>
              <w:rFonts w:hint="eastAsia" w:eastAsiaTheme="minorEastAsia"/>
              <w:lang w:val="en-US" w:eastAsia="zh-CN"/>
            </w:rPr>
          </w:pPr>
          <w:r>
            <w:fldChar w:fldCharType="begin"/>
          </w:r>
          <w:r>
            <w:instrText xml:space="preserve"> HYPERLINK \l "_Toc15282" </w:instrText>
          </w:r>
          <w:r>
            <w:fldChar w:fldCharType="separate"/>
          </w:r>
          <w:r>
            <w:rPr>
              <w:rFonts w:ascii="黑体" w:hAnsi="黑体" w:eastAsia="黑体" w:cs="黑体"/>
            </w:rPr>
            <w:t>十</w:t>
          </w:r>
          <w:r>
            <w:rPr>
              <w:rFonts w:hint="eastAsia" w:ascii="黑体" w:hAnsi="黑体" w:eastAsia="黑体" w:cs="黑体"/>
              <w:lang w:eastAsia="zh-CN"/>
            </w:rPr>
            <w:t>一</w:t>
          </w:r>
          <w:r>
            <w:rPr>
              <w:rFonts w:ascii="黑体" w:hAnsi="黑体" w:eastAsia="黑体" w:cs="黑体"/>
            </w:rPr>
            <w:t>、国有资本经营</w:t>
          </w:r>
          <w:r>
            <w:rPr>
              <w:rFonts w:hint="eastAsia" w:ascii="黑体" w:hAnsi="黑体" w:eastAsia="黑体" w:cs="黑体"/>
              <w:lang w:eastAsia="zh-CN"/>
            </w:rPr>
            <w:t>预</w:t>
          </w:r>
          <w:r>
            <w:rPr>
              <w:rFonts w:ascii="黑体" w:hAnsi="黑体" w:eastAsia="黑体" w:cs="黑体"/>
            </w:rPr>
            <w:t>算财政拨款收入支出决算表</w:t>
          </w:r>
          <w:r>
            <w:tab/>
          </w:r>
          <w:r>
            <w:rPr>
              <w:rFonts w:hint="eastAsia"/>
              <w:lang w:val="en-US" w:eastAsia="zh-CN"/>
            </w:rPr>
            <w:t>6</w:t>
          </w:r>
          <w:r>
            <w:fldChar w:fldCharType="end"/>
          </w:r>
          <w:r>
            <w:rPr>
              <w:rFonts w:hint="eastAsia"/>
              <w:lang w:val="en-US" w:eastAsia="zh-CN"/>
            </w:rPr>
            <w:t>1</w:t>
          </w:r>
        </w:p>
        <w:p>
          <w:pPr>
            <w:pStyle w:val="38"/>
            <w:tabs>
              <w:tab w:val="right" w:leader="dot" w:pos="8845"/>
            </w:tabs>
            <w:ind w:left="420"/>
            <w:rPr>
              <w:rFonts w:hint="eastAsia" w:eastAsiaTheme="minorEastAsia"/>
              <w:lang w:val="en-US" w:eastAsia="zh-CN"/>
            </w:rPr>
          </w:pPr>
          <w:r>
            <w:fldChar w:fldCharType="begin"/>
          </w:r>
          <w:r>
            <w:instrText xml:space="preserve"> HYPERLINK \l "_Toc5504" </w:instrText>
          </w:r>
          <w:r>
            <w:fldChar w:fldCharType="separate"/>
          </w:r>
          <w:r>
            <w:rPr>
              <w:rFonts w:ascii="黑体" w:hAnsi="黑体" w:eastAsia="黑体" w:cs="黑体"/>
            </w:rPr>
            <w:t>十</w:t>
          </w:r>
          <w:r>
            <w:rPr>
              <w:rFonts w:hint="eastAsia" w:ascii="黑体" w:hAnsi="黑体" w:eastAsia="黑体" w:cs="黑体"/>
              <w:lang w:eastAsia="zh-CN"/>
            </w:rPr>
            <w:t>二</w:t>
          </w:r>
          <w:r>
            <w:rPr>
              <w:rFonts w:ascii="黑体" w:hAnsi="黑体" w:eastAsia="黑体" w:cs="黑体"/>
            </w:rPr>
            <w:t>、国有资本经营</w:t>
          </w:r>
          <w:r>
            <w:rPr>
              <w:rFonts w:hint="eastAsia" w:ascii="黑体" w:hAnsi="黑体" w:eastAsia="黑体" w:cs="黑体"/>
              <w:lang w:eastAsia="zh-CN"/>
            </w:rPr>
            <w:t>预</w:t>
          </w:r>
          <w:r>
            <w:rPr>
              <w:rFonts w:ascii="黑体" w:hAnsi="黑体" w:eastAsia="黑体" w:cs="黑体"/>
            </w:rPr>
            <w:t>算财政拨款支出决算表</w:t>
          </w:r>
          <w:r>
            <w:tab/>
          </w:r>
          <w:r>
            <w:rPr>
              <w:rFonts w:hint="eastAsia"/>
              <w:lang w:val="en-US" w:eastAsia="zh-CN"/>
            </w:rPr>
            <w:t>6</w:t>
          </w:r>
          <w:r>
            <w:fldChar w:fldCharType="end"/>
          </w:r>
          <w:r>
            <w:rPr>
              <w:rFonts w:hint="eastAsia"/>
              <w:lang w:val="en-US" w:eastAsia="zh-CN"/>
            </w:rPr>
            <w:t>1</w:t>
          </w:r>
        </w:p>
        <w:p>
          <w:pPr>
            <w:pStyle w:val="38"/>
            <w:tabs>
              <w:tab w:val="right" w:leader="dot" w:pos="8845"/>
            </w:tabs>
            <w:ind w:left="420"/>
            <w:rPr>
              <w:rFonts w:hint="eastAsia" w:eastAsiaTheme="minorEastAsia"/>
              <w:lang w:val="en-US" w:eastAsia="zh-CN"/>
            </w:rPr>
          </w:pPr>
          <w:r>
            <w:rPr>
              <w:rFonts w:ascii="方正小标宋简体" w:hAnsi="宋体" w:eastAsia="方正小标宋简体"/>
              <w:b/>
              <w:szCs w:val="36"/>
            </w:rPr>
            <w:fldChar w:fldCharType="end"/>
          </w:r>
          <w:r>
            <w:fldChar w:fldCharType="begin"/>
          </w:r>
          <w:r>
            <w:instrText xml:space="preserve"> HYPERLINK \l "_Toc9222" </w:instrText>
          </w:r>
          <w:r>
            <w:fldChar w:fldCharType="separate"/>
          </w:r>
          <w:r>
            <w:rPr>
              <w:rFonts w:ascii="黑体" w:hAnsi="黑体" w:eastAsia="黑体" w:cs="黑体"/>
            </w:rPr>
            <w:t>十</w:t>
          </w:r>
          <w:r>
            <w:rPr>
              <w:rFonts w:hint="eastAsia" w:ascii="黑体" w:hAnsi="黑体" w:eastAsia="黑体" w:cs="黑体"/>
              <w:lang w:eastAsia="zh-CN"/>
            </w:rPr>
            <w:t>三</w:t>
          </w:r>
          <w:r>
            <w:rPr>
              <w:rFonts w:ascii="黑体" w:hAnsi="黑体" w:eastAsia="黑体" w:cs="黑体"/>
            </w:rPr>
            <w:t>、财政拨款“三公”经费支出决算表</w:t>
          </w:r>
          <w:r>
            <w:tab/>
          </w:r>
          <w:r>
            <w:rPr>
              <w:rFonts w:hint="eastAsia"/>
              <w:lang w:val="en-US" w:eastAsia="zh-CN"/>
            </w:rPr>
            <w:t>6</w:t>
          </w:r>
          <w:r>
            <w:fldChar w:fldCharType="end"/>
          </w:r>
          <w:r>
            <w:rPr>
              <w:rFonts w:hint="eastAsia"/>
              <w:lang w:val="en-US" w:eastAsia="zh-CN"/>
            </w:rPr>
            <w:t>1</w:t>
          </w:r>
        </w:p>
        <w:p>
          <w:pPr>
            <w:pStyle w:val="15"/>
            <w:adjustRightInd w:val="0"/>
            <w:snapToGrid w:val="0"/>
            <w:spacing w:line="440" w:lineRule="exact"/>
            <w:ind w:left="0" w:leftChars="0" w:firstLine="0" w:firstLineChars="0"/>
            <w:jc w:val="both"/>
            <w:rPr>
              <w:rStyle w:val="30"/>
              <w:rFonts w:hint="eastAsia" w:ascii="方正小标宋简体" w:hAnsi="方正小标宋简体"/>
            </w:rPr>
          </w:pPr>
          <w:bookmarkStart w:id="15" w:name="_Toc15396599"/>
          <w:bookmarkStart w:id="16" w:name="_Toc17067"/>
          <w:bookmarkStart w:id="17" w:name="_Toc15377196"/>
        </w:p>
      </w:sdtContent>
    </w:sdt>
    <w:p>
      <w:pPr>
        <w:pStyle w:val="15"/>
        <w:adjustRightInd w:val="0"/>
        <w:snapToGrid w:val="0"/>
        <w:spacing w:line="440" w:lineRule="exact"/>
        <w:jc w:val="center"/>
        <w:rPr>
          <w:rStyle w:val="30"/>
          <w:rFonts w:ascii="方正小标宋简体" w:hAnsi="方正小标宋简体"/>
        </w:rPr>
      </w:pPr>
      <w:r>
        <w:rPr>
          <w:rStyle w:val="30"/>
          <w:rFonts w:hint="eastAsia" w:ascii="方正小标宋简体" w:hAnsi="方正小标宋简体"/>
        </w:rPr>
        <w:t xml:space="preserve">第一部分  </w:t>
      </w:r>
      <w:r>
        <w:rPr>
          <w:rStyle w:val="30"/>
          <w:rFonts w:hint="eastAsia" w:ascii="方正小标宋简体" w:hAnsi="方正小标宋简体"/>
          <w:lang w:eastAsia="zh-CN"/>
        </w:rPr>
        <w:t>部门</w:t>
      </w:r>
      <w:r>
        <w:rPr>
          <w:rStyle w:val="30"/>
          <w:rFonts w:hint="eastAsia" w:ascii="方正小标宋简体" w:hAnsi="方正小标宋简体"/>
        </w:rPr>
        <w:t>概况</w:t>
      </w:r>
      <w:bookmarkEnd w:id="15"/>
      <w:bookmarkEnd w:id="16"/>
      <w:bookmarkEnd w:id="17"/>
    </w:p>
    <w:p>
      <w:pPr>
        <w:pStyle w:val="4"/>
        <w:snapToGrid w:val="0"/>
        <w:spacing w:before="0" w:after="0" w:line="576" w:lineRule="exact"/>
        <w:ind w:firstLine="640" w:firstLineChars="200"/>
        <w:rPr>
          <w:rFonts w:hint="eastAsia" w:ascii="黑体" w:hAnsi="黑体" w:eastAsia="黑体" w:cs="黑体"/>
          <w:b w:val="0"/>
          <w:lang w:eastAsia="zh-CN"/>
        </w:rPr>
      </w:pPr>
      <w:bookmarkStart w:id="18" w:name="_Toc13031"/>
      <w:bookmarkStart w:id="19" w:name="_Toc15396600"/>
      <w:bookmarkStart w:id="20" w:name="_Toc15377197"/>
      <w:r>
        <w:rPr>
          <w:rFonts w:hint="eastAsia" w:ascii="黑体" w:hAnsi="黑体" w:eastAsia="黑体" w:cs="黑体"/>
          <w:b w:val="0"/>
        </w:rPr>
        <w:t>一、</w:t>
      </w:r>
      <w:bookmarkEnd w:id="18"/>
      <w:r>
        <w:rPr>
          <w:rFonts w:hint="eastAsia" w:ascii="黑体" w:hAnsi="黑体" w:eastAsia="黑体" w:cs="黑体"/>
          <w:b w:val="0"/>
          <w:lang w:eastAsia="zh-CN"/>
        </w:rPr>
        <w:t>部门职责</w:t>
      </w:r>
    </w:p>
    <w:p>
      <w:pPr>
        <w:pStyle w:val="29"/>
        <w:widowControl/>
        <w:shd w:val="clear" w:color="auto" w:fill="FFFFFF"/>
        <w:snapToGrid w:val="0"/>
        <w:spacing w:line="576" w:lineRule="exact"/>
        <w:ind w:firstLine="640"/>
        <w:rPr>
          <w:rFonts w:eastAsia="仿宋_GB2312"/>
          <w:sz w:val="32"/>
          <w:szCs w:val="32"/>
        </w:rPr>
      </w:pPr>
      <w:r>
        <w:rPr>
          <w:rFonts w:eastAsia="仿宋_GB2312"/>
          <w:sz w:val="32"/>
          <w:szCs w:val="32"/>
        </w:rPr>
        <w:t>贯彻执行国家有关财政管理等方面的法律、法规和规定，拟定和执行我镇财政发展规划及其他有关政策。编制年度财政决算草案并组织执行，向人大报告财政决算，管理和监督各项财政收支。管理各类政策性补贴等资金，建立惠农资金补助对象管理新机制，进一步完善财政补贴农民资金“一卡(折)通”发放机制。负责对各类专项资金的监管，提高财政资金使用效率。负责非税收入。提出加强财政管理的政策建议，负责财政、税收政策法规的宣传工作。执行会计集中核算，落实“乡财县管、村帐乡监”等管理制度，严格按照上级财政部门规定的工作程序开展工作，充分发挥财政资金效益。负责本镇国有资产监督管理工作。负责做好农村综合改革和社会主义新农村建设相关工作。承办镇党委、政府及上级财政部门交办的其他事项。</w:t>
      </w:r>
    </w:p>
    <w:bookmarkEnd w:id="19"/>
    <w:bookmarkEnd w:id="20"/>
    <w:p>
      <w:pPr>
        <w:pStyle w:val="4"/>
        <w:snapToGrid w:val="0"/>
        <w:spacing w:before="0" w:after="0" w:line="576" w:lineRule="exact"/>
        <w:ind w:firstLine="640" w:firstLineChars="200"/>
        <w:rPr>
          <w:rFonts w:ascii="黑体" w:hAnsi="黑体" w:eastAsia="黑体" w:cs="黑体"/>
          <w:b w:val="0"/>
        </w:rPr>
      </w:pPr>
      <w:bookmarkStart w:id="21" w:name="_Toc13757"/>
      <w:r>
        <w:rPr>
          <w:rFonts w:hint="eastAsia" w:ascii="黑体" w:hAnsi="黑体" w:eastAsia="黑体" w:cs="黑体"/>
          <w:b w:val="0"/>
          <w:lang w:eastAsia="zh-CN"/>
        </w:rPr>
        <w:t>二</w:t>
      </w:r>
      <w:r>
        <w:rPr>
          <w:rFonts w:ascii="黑体" w:hAnsi="黑体" w:eastAsia="黑体" w:cs="黑体"/>
          <w:b w:val="0"/>
        </w:rPr>
        <w:t>、机构设置</w:t>
      </w:r>
      <w:bookmarkEnd w:id="21"/>
    </w:p>
    <w:p>
      <w:pPr>
        <w:snapToGrid w:val="0"/>
        <w:spacing w:line="576" w:lineRule="exact"/>
        <w:ind w:firstLine="640" w:firstLineChars="200"/>
        <w:rPr>
          <w:rFonts w:eastAsia="仿宋_GB2312"/>
          <w:sz w:val="32"/>
          <w:szCs w:val="32"/>
        </w:rPr>
      </w:pPr>
      <w:r>
        <w:rPr>
          <w:rFonts w:eastAsia="仿宋_GB2312"/>
          <w:sz w:val="32"/>
          <w:szCs w:val="32"/>
        </w:rPr>
        <w:t>卫子镇人民政府属于一级决算单位，政府单位机构数1个，其中行政单位</w:t>
      </w:r>
      <w:r>
        <w:rPr>
          <w:rFonts w:hint="eastAsia" w:eastAsia="仿宋_GB2312"/>
          <w:sz w:val="32"/>
          <w:szCs w:val="32"/>
          <w:lang w:val="en-US" w:eastAsia="zh-CN"/>
        </w:rPr>
        <w:t>8</w:t>
      </w:r>
      <w:r>
        <w:rPr>
          <w:rFonts w:eastAsia="仿宋_GB2312"/>
          <w:sz w:val="32"/>
          <w:szCs w:val="32"/>
        </w:rPr>
        <w:t>个，参照公务员法管理的事业单位0个，其他事业单位</w:t>
      </w:r>
      <w:r>
        <w:rPr>
          <w:rFonts w:hint="eastAsia" w:eastAsia="仿宋_GB2312"/>
          <w:sz w:val="32"/>
          <w:szCs w:val="32"/>
          <w:lang w:val="en-US" w:eastAsia="zh-CN"/>
        </w:rPr>
        <w:t>5</w:t>
      </w:r>
      <w:r>
        <w:rPr>
          <w:rFonts w:eastAsia="仿宋_GB2312"/>
          <w:sz w:val="32"/>
          <w:szCs w:val="32"/>
        </w:rPr>
        <w:t>个。</w:t>
      </w:r>
    </w:p>
    <w:p>
      <w:pPr>
        <w:snapToGrid w:val="0"/>
        <w:spacing w:line="576" w:lineRule="exact"/>
        <w:ind w:firstLine="640" w:firstLineChars="200"/>
        <w:rPr>
          <w:rFonts w:eastAsia="仿宋_GB2312"/>
          <w:sz w:val="32"/>
          <w:szCs w:val="32"/>
        </w:rPr>
      </w:pPr>
    </w:p>
    <w:p>
      <w:pPr>
        <w:widowControl/>
        <w:snapToGrid w:val="0"/>
        <w:spacing w:line="576" w:lineRule="exact"/>
        <w:ind w:firstLine="640" w:firstLineChars="200"/>
        <w:jc w:val="left"/>
        <w:rPr>
          <w:rFonts w:eastAsia="仿宋_GB2312"/>
          <w:kern w:val="0"/>
          <w:sz w:val="32"/>
          <w:szCs w:val="32"/>
        </w:rPr>
      </w:pPr>
    </w:p>
    <w:p>
      <w:pPr>
        <w:pStyle w:val="3"/>
        <w:snapToGrid w:val="0"/>
        <w:spacing w:beforeLines="50" w:afterLines="50" w:line="572" w:lineRule="exact"/>
        <w:jc w:val="center"/>
        <w:rPr>
          <w:rFonts w:ascii="方正小标宋简体" w:hAnsi="方正小标宋简体" w:eastAsia="方正小标宋简体" w:cs="方正小标宋简体"/>
          <w:b w:val="0"/>
        </w:rPr>
      </w:pPr>
      <w:bookmarkStart w:id="22" w:name="_Toc1491"/>
      <w:bookmarkStart w:id="23" w:name="_Toc15396602"/>
      <w:bookmarkStart w:id="24" w:name="_Toc15377204"/>
      <w:r>
        <w:rPr>
          <w:rFonts w:ascii="方正小标宋简体" w:hAnsi="方正小标宋简体" w:eastAsia="方正小标宋简体" w:cs="方正小标宋简体"/>
          <w:b w:val="0"/>
        </w:rPr>
        <w:t>第二部分</w:t>
      </w:r>
      <w:r>
        <w:rPr>
          <w:rFonts w:hint="eastAsia" w:ascii="方正小标宋简体" w:hAnsi="方正小标宋简体" w:eastAsia="方正小标宋简体" w:cs="方正小标宋简体"/>
          <w:b w:val="0"/>
        </w:rPr>
        <w:t xml:space="preserve">  </w:t>
      </w:r>
      <w:r>
        <w:rPr>
          <w:rFonts w:ascii="方正小标宋简体" w:hAnsi="方正小标宋简体" w:eastAsia="方正小标宋简体" w:cs="方正小标宋简体"/>
          <w:b w:val="0"/>
        </w:rPr>
        <w:t>202</w:t>
      </w:r>
      <w:r>
        <w:rPr>
          <w:rFonts w:hint="eastAsia" w:ascii="方正小标宋简体" w:hAnsi="方正小标宋简体" w:eastAsia="方正小标宋简体" w:cs="方正小标宋简体"/>
          <w:b w:val="0"/>
          <w:lang w:val="en-US" w:eastAsia="zh-CN"/>
        </w:rPr>
        <w:t>2</w:t>
      </w:r>
      <w:r>
        <w:rPr>
          <w:rFonts w:ascii="方正小标宋简体" w:hAnsi="方正小标宋简体" w:eastAsia="方正小标宋简体" w:cs="方正小标宋简体"/>
          <w:b w:val="0"/>
        </w:rPr>
        <w:t>年度</w:t>
      </w:r>
      <w:r>
        <w:rPr>
          <w:rFonts w:hint="eastAsia" w:ascii="方正小标宋简体" w:hAnsi="方正小标宋简体" w:eastAsia="方正小标宋简体" w:cs="方正小标宋简体"/>
          <w:b w:val="0"/>
          <w:lang w:eastAsia="zh-CN"/>
        </w:rPr>
        <w:t>部门</w:t>
      </w:r>
      <w:r>
        <w:rPr>
          <w:rFonts w:ascii="方正小标宋简体" w:hAnsi="方正小标宋简体" w:eastAsia="方正小标宋简体" w:cs="方正小标宋简体"/>
          <w:b w:val="0"/>
        </w:rPr>
        <w:t>决算情况说明</w:t>
      </w:r>
      <w:bookmarkEnd w:id="22"/>
      <w:bookmarkEnd w:id="23"/>
      <w:bookmarkEnd w:id="24"/>
    </w:p>
    <w:p>
      <w:pPr>
        <w:pStyle w:val="4"/>
        <w:snapToGrid w:val="0"/>
        <w:spacing w:before="0" w:after="0" w:line="572" w:lineRule="exact"/>
        <w:ind w:firstLine="640" w:firstLineChars="200"/>
        <w:rPr>
          <w:rFonts w:ascii="黑体" w:hAnsi="黑体" w:eastAsia="黑体" w:cs="黑体"/>
          <w:b w:val="0"/>
        </w:rPr>
      </w:pPr>
      <w:bookmarkStart w:id="25" w:name="_Toc15377205"/>
      <w:bookmarkStart w:id="26" w:name="_Toc10370"/>
      <w:bookmarkStart w:id="27" w:name="_Toc15396603"/>
      <w:r>
        <w:rPr>
          <w:rFonts w:hint="eastAsia" w:ascii="黑体" w:hAnsi="黑体" w:eastAsia="黑体" w:cs="黑体"/>
          <w:b w:val="0"/>
        </w:rPr>
        <w:t>一、收入支出决算总体情况说明</w:t>
      </w:r>
      <w:bookmarkEnd w:id="25"/>
      <w:bookmarkEnd w:id="26"/>
      <w:bookmarkEnd w:id="27"/>
    </w:p>
    <w:p>
      <w:pPr>
        <w:snapToGrid w:val="0"/>
        <w:spacing w:line="572" w:lineRule="exact"/>
        <w:ind w:firstLine="640" w:firstLineChars="200"/>
        <w:rPr>
          <w:rFonts w:ascii="仿宋" w:hAnsi="仿宋" w:eastAsia="仿宋"/>
          <w:color w:val="000000"/>
          <w:sz w:val="32"/>
          <w:szCs w:val="32"/>
        </w:rPr>
      </w:pPr>
      <w:r>
        <w:rPr>
          <w:rFonts w:eastAsia="仿宋_GB2312"/>
          <w:sz w:val="32"/>
          <w:szCs w:val="32"/>
        </w:rPr>
        <w:t>202</w:t>
      </w:r>
      <w:r>
        <w:rPr>
          <w:rFonts w:hint="eastAsia" w:eastAsia="仿宋_GB2312"/>
          <w:sz w:val="32"/>
          <w:szCs w:val="32"/>
          <w:lang w:val="en-US" w:eastAsia="zh-CN"/>
        </w:rPr>
        <w:t>2</w:t>
      </w:r>
      <w:r>
        <w:rPr>
          <w:rFonts w:eastAsia="仿宋_GB2312"/>
          <w:sz w:val="32"/>
          <w:szCs w:val="32"/>
        </w:rPr>
        <w:t>年度收、支总计</w:t>
      </w:r>
      <w:r>
        <w:rPr>
          <w:rFonts w:hint="eastAsia" w:eastAsia="仿宋_GB2312"/>
          <w:sz w:val="32"/>
          <w:szCs w:val="32"/>
          <w:lang w:val="en-US" w:eastAsia="zh-CN"/>
        </w:rPr>
        <w:t>1685.8</w:t>
      </w:r>
      <w:r>
        <w:rPr>
          <w:rFonts w:eastAsia="仿宋_GB2312"/>
          <w:sz w:val="32"/>
          <w:szCs w:val="32"/>
        </w:rPr>
        <w:t>万元。与202</w:t>
      </w:r>
      <w:r>
        <w:rPr>
          <w:rFonts w:hint="eastAsia" w:eastAsia="仿宋_GB2312"/>
          <w:sz w:val="32"/>
          <w:szCs w:val="32"/>
          <w:lang w:val="en-US" w:eastAsia="zh-CN"/>
        </w:rPr>
        <w:t>1</w:t>
      </w:r>
      <w:r>
        <w:rPr>
          <w:rFonts w:eastAsia="仿宋_GB2312"/>
          <w:sz w:val="32"/>
          <w:szCs w:val="32"/>
        </w:rPr>
        <w:t>年相比，收、支总计各</w:t>
      </w:r>
      <w:r>
        <w:rPr>
          <w:rFonts w:hint="eastAsia" w:eastAsia="仿宋_GB2312"/>
          <w:sz w:val="32"/>
          <w:szCs w:val="32"/>
          <w:lang w:eastAsia="zh-CN"/>
        </w:rPr>
        <w:t>减少</w:t>
      </w:r>
      <w:r>
        <w:rPr>
          <w:rFonts w:hint="eastAsia" w:eastAsia="仿宋_GB2312"/>
          <w:sz w:val="32"/>
          <w:szCs w:val="32"/>
          <w:lang w:val="en-US" w:eastAsia="zh-CN"/>
        </w:rPr>
        <w:t>106.09</w:t>
      </w:r>
      <w:r>
        <w:rPr>
          <w:rFonts w:eastAsia="仿宋_GB2312"/>
          <w:sz w:val="32"/>
          <w:szCs w:val="32"/>
        </w:rPr>
        <w:t>万元，</w:t>
      </w:r>
      <w:r>
        <w:rPr>
          <w:rFonts w:hint="eastAsia" w:eastAsia="仿宋_GB2312"/>
          <w:sz w:val="32"/>
          <w:szCs w:val="32"/>
          <w:lang w:eastAsia="zh-CN"/>
        </w:rPr>
        <w:t>减幅</w:t>
      </w:r>
      <w:r>
        <w:rPr>
          <w:rFonts w:hint="eastAsia" w:eastAsia="仿宋_GB2312"/>
          <w:sz w:val="32"/>
          <w:szCs w:val="32"/>
          <w:lang w:val="en-US" w:eastAsia="zh-CN"/>
        </w:rPr>
        <w:t>5.9</w:t>
      </w:r>
      <w:r>
        <w:rPr>
          <w:rFonts w:hint="eastAsia" w:eastAsia="仿宋_GB2312"/>
          <w:sz w:val="32"/>
          <w:szCs w:val="32"/>
        </w:rPr>
        <w:t>%.</w:t>
      </w:r>
      <w:r>
        <w:rPr>
          <w:rFonts w:eastAsia="仿宋_GB2312"/>
          <w:sz w:val="32"/>
          <w:szCs w:val="32"/>
        </w:rPr>
        <w:t>主要变动原因</w:t>
      </w:r>
      <w:r>
        <w:rPr>
          <w:rFonts w:hint="eastAsia" w:eastAsia="仿宋_GB2312"/>
          <w:sz w:val="32"/>
          <w:szCs w:val="32"/>
        </w:rPr>
        <w:t>人员经费正常变动</w:t>
      </w:r>
      <w:r>
        <w:rPr>
          <w:rFonts w:hint="eastAsia" w:eastAsia="仿宋_GB2312"/>
          <w:sz w:val="32"/>
          <w:szCs w:val="32"/>
          <w:lang w:eastAsia="zh-CN"/>
        </w:rPr>
        <w:t>、项目减少</w:t>
      </w:r>
      <w:r>
        <w:rPr>
          <w:rFonts w:eastAsia="仿宋_GB2312"/>
          <w:sz w:val="32"/>
          <w:szCs w:val="32"/>
        </w:rPr>
        <w:t>。</w:t>
      </w:r>
    </w:p>
    <w:p>
      <w:pPr>
        <w:spacing w:line="580" w:lineRule="exact"/>
        <w:jc w:val="center"/>
        <w:rPr>
          <w:rFonts w:ascii="黑体" w:hAnsi="黑体" w:eastAsia="黑体" w:cs="黑体"/>
        </w:rPr>
      </w:pPr>
      <w:r>
        <w:rPr>
          <w:rFonts w:ascii="仿宋" w:hAnsi="仿宋" w:eastAsia="仿宋"/>
          <w:color w:val="000000"/>
          <w:sz w:val="32"/>
          <w:szCs w:val="32"/>
        </w:rPr>
        <w:pict>
          <v:shape id="Object 2" o:spid="_x0000_s1029" o:spt="75" type="#_x0000_t75" style="position:absolute;left:0pt;margin-left:13.55pt;margin-top:5.85pt;height:141.15pt;width:446.7pt;mso-wrap-distance-bottom:0pt;mso-wrap-distance-top:0pt;z-index:251659264;mso-width-relative:page;mso-height-relative:page;" o:ole="t" filled="f" o:preferrelative="t" stroked="f" coordsize="21600,21600">
            <v:path/>
            <v:fill on="f" focussize="0,0"/>
            <v:stroke on="f"/>
            <v:imagedata r:id="rId7" o:title=""/>
            <o:lock v:ext="edit" aspectratio="t"/>
            <w10:wrap type="topAndBottom"/>
          </v:shape>
          <o:OLEObject Type="Embed" ProgID="Excel.Chart.8" ShapeID="Object 2" DrawAspect="Content" ObjectID="_1468075725" r:id="rId6">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bookmarkStart w:id="28" w:name="_Toc15396604"/>
      <w:bookmarkStart w:id="29" w:name="_Toc29072"/>
      <w:bookmarkStart w:id="30" w:name="_Toc15377206"/>
    </w:p>
    <w:p>
      <w:pPr>
        <w:pStyle w:val="4"/>
        <w:snapToGrid w:val="0"/>
        <w:spacing w:before="0" w:after="0" w:line="576" w:lineRule="exact"/>
        <w:ind w:firstLine="640" w:firstLineChars="200"/>
        <w:rPr>
          <w:rFonts w:ascii="黑体" w:hAnsi="黑体" w:eastAsia="黑体" w:cs="黑体"/>
          <w:b w:val="0"/>
        </w:rPr>
      </w:pPr>
      <w:r>
        <w:rPr>
          <w:rFonts w:hint="eastAsia" w:ascii="黑体" w:hAnsi="黑体" w:eastAsia="黑体" w:cs="黑体"/>
          <w:b w:val="0"/>
        </w:rPr>
        <w:t>二、</w:t>
      </w:r>
      <w:r>
        <w:rPr>
          <w:rFonts w:ascii="黑体" w:hAnsi="黑体" w:eastAsia="黑体" w:cs="黑体"/>
          <w:b w:val="0"/>
        </w:rPr>
        <w:t>收入决算情况说明</w:t>
      </w:r>
      <w:bookmarkEnd w:id="28"/>
      <w:bookmarkEnd w:id="29"/>
      <w:bookmarkEnd w:id="30"/>
    </w:p>
    <w:p>
      <w:pPr>
        <w:snapToGrid w:val="0"/>
        <w:spacing w:line="576" w:lineRule="exact"/>
        <w:ind w:firstLine="640" w:firstLineChars="200"/>
        <w:outlineLvl w:val="1"/>
        <w:rPr>
          <w:rFonts w:hint="eastAsia" w:eastAsia="仿宋_GB2312"/>
          <w:sz w:val="32"/>
          <w:szCs w:val="32"/>
          <w:lang w:val="en-US" w:eastAsia="zh-CN"/>
        </w:rPr>
      </w:pPr>
      <w:bookmarkStart w:id="31" w:name="_Toc1350"/>
      <w:r>
        <w:rPr>
          <w:rFonts w:ascii="仿宋" w:hAnsi="仿宋" w:eastAsia="仿宋"/>
          <w:color w:val="000000"/>
          <w:sz w:val="32"/>
          <w:szCs w:val="32"/>
        </w:rPr>
        <w:pict>
          <v:shape id="Object 3" o:spid="_x0000_s1030" o:spt="75" type="#_x0000_t75" style="position:absolute;left:0pt;margin-left:80.3pt;margin-top:73.65pt;height:143.85pt;width:263.4pt;mso-wrap-distance-bottom:0pt;mso-wrap-distance-top:0pt;z-index:251660288;mso-width-relative:page;mso-height-relative:page;" o:ole="t" filled="f" o:preferrelative="t" stroked="f" coordsize="21600,21600">
            <v:path/>
            <v:fill on="f" focussize="0,0"/>
            <v:stroke on="f"/>
            <v:imagedata r:id="rId9" o:title=""/>
            <o:lock v:ext="edit" aspectratio="t"/>
            <w10:wrap type="topAndBottom"/>
          </v:shape>
          <o:OLEObject Type="Embed" ProgID="Excel.Chart.8" ShapeID="Object 3" DrawAspect="Content" ObjectID="_1468075726" r:id="rId8">
            <o:LockedField>false</o:LockedField>
          </o:OLEObject>
        </w:pict>
      </w:r>
      <w:r>
        <w:rPr>
          <w:rFonts w:eastAsia="仿宋_GB2312"/>
          <w:sz w:val="32"/>
          <w:szCs w:val="32"/>
        </w:rPr>
        <w:t>202</w:t>
      </w:r>
      <w:r>
        <w:rPr>
          <w:rFonts w:hint="eastAsia" w:eastAsia="仿宋_GB2312"/>
          <w:sz w:val="32"/>
          <w:szCs w:val="32"/>
          <w:lang w:val="en-US" w:eastAsia="zh-CN"/>
        </w:rPr>
        <w:t>2</w:t>
      </w:r>
      <w:r>
        <w:rPr>
          <w:rFonts w:eastAsia="仿宋_GB2312"/>
          <w:sz w:val="32"/>
          <w:szCs w:val="32"/>
        </w:rPr>
        <w:t>年本年收入合计</w:t>
      </w:r>
      <w:r>
        <w:rPr>
          <w:rFonts w:hint="eastAsia" w:eastAsia="仿宋_GB2312"/>
          <w:sz w:val="32"/>
          <w:szCs w:val="32"/>
          <w:lang w:val="en-US" w:eastAsia="zh-CN"/>
        </w:rPr>
        <w:t>1685.8</w:t>
      </w:r>
      <w:r>
        <w:rPr>
          <w:rFonts w:eastAsia="仿宋_GB2312"/>
          <w:sz w:val="32"/>
          <w:szCs w:val="32"/>
        </w:rPr>
        <w:t>万元，其中：一般公共</w:t>
      </w:r>
      <w:r>
        <w:rPr>
          <w:rFonts w:hint="eastAsia" w:eastAsia="仿宋_GB2312"/>
          <w:sz w:val="32"/>
          <w:szCs w:val="32"/>
          <w:lang w:eastAsia="zh-CN"/>
        </w:rPr>
        <w:t>预</w:t>
      </w:r>
      <w:r>
        <w:rPr>
          <w:rFonts w:eastAsia="仿宋_GB2312"/>
          <w:sz w:val="32"/>
          <w:szCs w:val="32"/>
        </w:rPr>
        <w:t>算财政拨款收入</w:t>
      </w:r>
      <w:r>
        <w:rPr>
          <w:rFonts w:hint="eastAsia" w:eastAsia="仿宋_GB2312"/>
          <w:sz w:val="32"/>
          <w:szCs w:val="32"/>
          <w:lang w:val="en-US" w:eastAsia="zh-CN"/>
        </w:rPr>
        <w:t>1685.8</w:t>
      </w:r>
      <w:r>
        <w:rPr>
          <w:rFonts w:eastAsia="仿宋_GB2312"/>
          <w:sz w:val="32"/>
          <w:szCs w:val="32"/>
        </w:rPr>
        <w:t>万元，占100%</w:t>
      </w:r>
      <w:bookmarkEnd w:id="31"/>
      <w:r>
        <w:rPr>
          <w:rFonts w:eastAsia="仿宋_GB2312"/>
          <w:sz w:val="32"/>
          <w:szCs w:val="32"/>
        </w:rPr>
        <w:t>。</w:t>
      </w:r>
    </w:p>
    <w:p>
      <w:pPr>
        <w:spacing w:line="580" w:lineRule="exact"/>
        <w:ind w:firstLine="640" w:firstLineChars="200"/>
        <w:jc w:val="cente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pStyle w:val="4"/>
        <w:snapToGrid w:val="0"/>
        <w:spacing w:before="0" w:after="0" w:line="576" w:lineRule="exact"/>
        <w:ind w:firstLine="640" w:firstLineChars="200"/>
        <w:rPr>
          <w:rFonts w:ascii="黑体" w:hAnsi="黑体" w:eastAsia="黑体" w:cs="黑体"/>
          <w:b w:val="0"/>
        </w:rPr>
      </w:pPr>
      <w:bookmarkStart w:id="32" w:name="_Toc14067"/>
      <w:bookmarkStart w:id="33" w:name="_Toc15396605"/>
      <w:bookmarkStart w:id="34" w:name="_Toc15377207"/>
      <w:r>
        <w:rPr>
          <w:rFonts w:hint="eastAsia" w:ascii="黑体" w:hAnsi="黑体" w:eastAsia="黑体" w:cs="黑体"/>
          <w:b w:val="0"/>
        </w:rPr>
        <w:t>三、</w:t>
      </w:r>
      <w:r>
        <w:rPr>
          <w:rFonts w:ascii="黑体" w:hAnsi="黑体" w:eastAsia="黑体" w:cs="黑体"/>
          <w:b w:val="0"/>
        </w:rPr>
        <w:t>支出决算情况说明</w:t>
      </w:r>
      <w:bookmarkEnd w:id="32"/>
      <w:bookmarkEnd w:id="33"/>
      <w:bookmarkEnd w:id="34"/>
    </w:p>
    <w:p>
      <w:pPr>
        <w:snapToGrid w:val="0"/>
        <w:spacing w:line="576" w:lineRule="exact"/>
        <w:ind w:firstLine="640" w:firstLineChars="200"/>
        <w:outlineLvl w:val="1"/>
        <w:rPr>
          <w:rFonts w:eastAsia="仿宋_GB2312"/>
          <w:sz w:val="32"/>
          <w:szCs w:val="32"/>
        </w:rPr>
      </w:pPr>
      <w:bookmarkStart w:id="35" w:name="_Toc28457"/>
      <w:r>
        <w:rPr>
          <w:rFonts w:eastAsia="仿宋_GB2312"/>
          <w:sz w:val="32"/>
          <w:szCs w:val="32"/>
        </w:rPr>
        <w:t>202</w:t>
      </w:r>
      <w:r>
        <w:rPr>
          <w:rFonts w:hint="eastAsia" w:eastAsia="仿宋_GB2312"/>
          <w:sz w:val="32"/>
          <w:szCs w:val="32"/>
          <w:lang w:val="en-US" w:eastAsia="zh-CN"/>
        </w:rPr>
        <w:t>2</w:t>
      </w:r>
      <w:r>
        <w:rPr>
          <w:rFonts w:eastAsia="仿宋_GB2312"/>
          <w:sz w:val="32"/>
          <w:szCs w:val="32"/>
        </w:rPr>
        <w:t>年本年支出合计</w:t>
      </w:r>
      <w:r>
        <w:rPr>
          <w:rFonts w:hint="eastAsia" w:eastAsia="仿宋_GB2312"/>
          <w:sz w:val="32"/>
          <w:szCs w:val="32"/>
          <w:lang w:val="en-US" w:eastAsia="zh-CN"/>
        </w:rPr>
        <w:t>1685.8</w:t>
      </w:r>
      <w:r>
        <w:rPr>
          <w:rFonts w:eastAsia="仿宋_GB2312"/>
          <w:sz w:val="32"/>
          <w:szCs w:val="32"/>
        </w:rPr>
        <w:t>万元，其中：基本支出</w:t>
      </w:r>
      <w:r>
        <w:rPr>
          <w:rFonts w:hint="eastAsia" w:eastAsia="仿宋_GB2312"/>
          <w:sz w:val="32"/>
          <w:szCs w:val="32"/>
          <w:lang w:val="en-US" w:eastAsia="zh-CN"/>
        </w:rPr>
        <w:t>1283.27</w:t>
      </w:r>
      <w:r>
        <w:rPr>
          <w:rFonts w:eastAsia="仿宋_GB2312"/>
          <w:sz w:val="32"/>
          <w:szCs w:val="32"/>
        </w:rPr>
        <w:t>万元，占</w:t>
      </w:r>
      <w:r>
        <w:rPr>
          <w:rFonts w:hint="eastAsia" w:eastAsia="仿宋_GB2312"/>
          <w:sz w:val="32"/>
          <w:szCs w:val="32"/>
          <w:lang w:val="en-US" w:eastAsia="zh-CN"/>
        </w:rPr>
        <w:t>76.1</w:t>
      </w:r>
      <w:r>
        <w:rPr>
          <w:rFonts w:eastAsia="仿宋_GB2312"/>
          <w:sz w:val="32"/>
          <w:szCs w:val="32"/>
        </w:rPr>
        <w:t>%；项目支出</w:t>
      </w:r>
      <w:r>
        <w:rPr>
          <w:rFonts w:hint="eastAsia" w:eastAsia="仿宋_GB2312"/>
          <w:sz w:val="32"/>
          <w:szCs w:val="32"/>
        </w:rPr>
        <w:t>402.53</w:t>
      </w:r>
      <w:r>
        <w:rPr>
          <w:rFonts w:eastAsia="仿宋_GB2312"/>
          <w:sz w:val="32"/>
          <w:szCs w:val="32"/>
        </w:rPr>
        <w:t>万元，占</w:t>
      </w:r>
      <w:r>
        <w:rPr>
          <w:rFonts w:hint="eastAsia" w:eastAsia="仿宋_GB2312"/>
          <w:sz w:val="32"/>
          <w:szCs w:val="32"/>
          <w:lang w:val="en-US" w:eastAsia="zh-CN"/>
        </w:rPr>
        <w:t>23.9</w:t>
      </w:r>
      <w:r>
        <w:rPr>
          <w:rFonts w:eastAsia="仿宋_GB2312"/>
          <w:sz w:val="32"/>
          <w:szCs w:val="32"/>
        </w:rPr>
        <w:t>%；</w:t>
      </w:r>
      <w:bookmarkEnd w:id="35"/>
    </w:p>
    <w:p>
      <w:pPr>
        <w:pStyle w:val="7"/>
        <w:spacing w:before="93"/>
        <w:jc w:val="center"/>
        <w:rPr>
          <w:rFonts w:ascii="黑体" w:hAnsi="黑体" w:eastAsia="黑体" w:cs="黑体"/>
        </w:rPr>
      </w:pPr>
      <w:r>
        <w:rPr>
          <w:rFonts w:ascii="仿宋" w:hAnsi="仿宋" w:eastAsia="仿宋"/>
          <w:color w:val="000000"/>
          <w:sz w:val="32"/>
          <w:szCs w:val="32"/>
          <w:shd w:val="pct10" w:color="auto" w:fill="FFFFFF"/>
        </w:rPr>
        <w:pict>
          <v:shape id="Object 7" o:spid="_x0000_s1031" o:spt="75" type="#_x0000_t75" style="position:absolute;left:0pt;margin-left:42.1pt;margin-top:4.55pt;height:166.3pt;width:274.55pt;mso-wrap-distance-bottom:0pt;mso-wrap-distance-top:0pt;z-index:251661312;mso-width-relative:page;mso-height-relative:page;" o:ole="t" filled="f" o:preferrelative="t" stroked="f" coordsize="21600,21600">
            <v:path/>
            <v:fill on="f" focussize="0,0"/>
            <v:stroke on="f" joinstyle="miter"/>
            <v:imagedata r:id="rId11" o:title=""/>
            <o:lock v:ext="edit" aspectratio="t"/>
            <w10:wrap type="topAndBottom"/>
          </v:shape>
          <o:OLEObject Type="Embed" ProgID="Excel.Chart.8" ShapeID="Object 7" DrawAspect="Content" ObjectID="_1468075727" r:id="rId10">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bookmarkStart w:id="36" w:name="_Toc15377208"/>
      <w:bookmarkStart w:id="37" w:name="_Toc25538"/>
      <w:bookmarkStart w:id="38" w:name="_Toc15396606"/>
    </w:p>
    <w:p>
      <w:pPr>
        <w:pStyle w:val="4"/>
        <w:snapToGrid w:val="0"/>
        <w:spacing w:before="0" w:after="0" w:line="576" w:lineRule="exact"/>
        <w:ind w:firstLine="640" w:firstLineChars="200"/>
        <w:rPr>
          <w:rFonts w:ascii="黑体" w:hAnsi="黑体" w:eastAsia="黑体" w:cs="黑体"/>
          <w:b w:val="0"/>
        </w:rPr>
      </w:pPr>
      <w:r>
        <w:rPr>
          <w:rFonts w:ascii="黑体" w:hAnsi="黑体" w:eastAsia="黑体" w:cs="黑体"/>
          <w:b w:val="0"/>
        </w:rPr>
        <w:t>四、财政拨款收入支出决算总体情况说明</w:t>
      </w:r>
      <w:bookmarkEnd w:id="36"/>
      <w:bookmarkEnd w:id="37"/>
      <w:bookmarkEnd w:id="38"/>
    </w:p>
    <w:p>
      <w:pPr>
        <w:snapToGrid w:val="0"/>
        <w:spacing w:line="572" w:lineRule="exact"/>
        <w:ind w:firstLine="640" w:firstLineChars="200"/>
        <w:rPr>
          <w:rFonts w:ascii="仿宋" w:hAnsi="仿宋" w:eastAsia="仿宋"/>
          <w:color w:val="000000"/>
          <w:sz w:val="32"/>
          <w:szCs w:val="32"/>
        </w:rPr>
      </w:pPr>
      <w:bookmarkStart w:id="39" w:name="_Toc15377209"/>
      <w:bookmarkStart w:id="40" w:name="_Toc15396607"/>
      <w:bookmarkStart w:id="41" w:name="_Toc24441"/>
      <w:r>
        <w:rPr>
          <w:rFonts w:eastAsia="仿宋_GB2312"/>
          <w:sz w:val="32"/>
          <w:szCs w:val="32"/>
        </w:rPr>
        <w:t>202</w:t>
      </w:r>
      <w:r>
        <w:rPr>
          <w:rFonts w:hint="eastAsia" w:eastAsia="仿宋_GB2312"/>
          <w:sz w:val="32"/>
          <w:szCs w:val="32"/>
          <w:lang w:val="en-US" w:eastAsia="zh-CN"/>
        </w:rPr>
        <w:t>2</w:t>
      </w:r>
      <w:r>
        <w:rPr>
          <w:rFonts w:eastAsia="仿宋_GB2312"/>
          <w:sz w:val="32"/>
          <w:szCs w:val="32"/>
        </w:rPr>
        <w:t>年度收、支总计</w:t>
      </w:r>
      <w:r>
        <w:rPr>
          <w:rFonts w:hint="eastAsia" w:eastAsia="仿宋_GB2312"/>
          <w:sz w:val="32"/>
          <w:szCs w:val="32"/>
          <w:lang w:val="en-US" w:eastAsia="zh-CN"/>
        </w:rPr>
        <w:t>1685.8</w:t>
      </w:r>
      <w:r>
        <w:rPr>
          <w:rFonts w:eastAsia="仿宋_GB2312"/>
          <w:sz w:val="32"/>
          <w:szCs w:val="32"/>
        </w:rPr>
        <w:t>万元。与202</w:t>
      </w:r>
      <w:r>
        <w:rPr>
          <w:rFonts w:hint="eastAsia" w:eastAsia="仿宋_GB2312"/>
          <w:sz w:val="32"/>
          <w:szCs w:val="32"/>
          <w:lang w:val="en-US" w:eastAsia="zh-CN"/>
        </w:rPr>
        <w:t>1</w:t>
      </w:r>
      <w:r>
        <w:rPr>
          <w:rFonts w:eastAsia="仿宋_GB2312"/>
          <w:sz w:val="32"/>
          <w:szCs w:val="32"/>
        </w:rPr>
        <w:t>年相比，收、支总计各</w:t>
      </w:r>
      <w:r>
        <w:rPr>
          <w:rFonts w:hint="eastAsia" w:eastAsia="仿宋_GB2312"/>
          <w:sz w:val="32"/>
          <w:szCs w:val="32"/>
          <w:lang w:eastAsia="zh-CN"/>
        </w:rPr>
        <w:t>减少</w:t>
      </w:r>
      <w:r>
        <w:rPr>
          <w:rFonts w:hint="eastAsia" w:eastAsia="仿宋_GB2312"/>
          <w:sz w:val="32"/>
          <w:szCs w:val="32"/>
          <w:lang w:val="en-US" w:eastAsia="zh-CN"/>
        </w:rPr>
        <w:t>106.09</w:t>
      </w:r>
      <w:r>
        <w:rPr>
          <w:rFonts w:eastAsia="仿宋_GB2312"/>
          <w:sz w:val="32"/>
          <w:szCs w:val="32"/>
        </w:rPr>
        <w:t>万元，</w:t>
      </w:r>
      <w:r>
        <w:rPr>
          <w:rFonts w:hint="eastAsia" w:eastAsia="仿宋_GB2312"/>
          <w:sz w:val="32"/>
          <w:szCs w:val="32"/>
          <w:lang w:eastAsia="zh-CN"/>
        </w:rPr>
        <w:t>减幅</w:t>
      </w:r>
      <w:r>
        <w:rPr>
          <w:rFonts w:hint="eastAsia" w:eastAsia="仿宋_GB2312"/>
          <w:sz w:val="32"/>
          <w:szCs w:val="32"/>
          <w:lang w:val="en-US" w:eastAsia="zh-CN"/>
        </w:rPr>
        <w:t>5.9</w:t>
      </w:r>
      <w:r>
        <w:rPr>
          <w:rFonts w:hint="eastAsia" w:eastAsia="仿宋_GB2312"/>
          <w:sz w:val="32"/>
          <w:szCs w:val="32"/>
        </w:rPr>
        <w:t>%</w:t>
      </w:r>
      <w:r>
        <w:rPr>
          <w:rFonts w:hint="eastAsia" w:eastAsia="仿宋_GB2312"/>
          <w:sz w:val="32"/>
          <w:szCs w:val="32"/>
          <w:lang w:val="en-US" w:eastAsia="zh-CN"/>
        </w:rPr>
        <w:t>.</w:t>
      </w:r>
      <w:r>
        <w:rPr>
          <w:rFonts w:eastAsia="仿宋_GB2312"/>
          <w:sz w:val="32"/>
          <w:szCs w:val="32"/>
        </w:rPr>
        <w:t>主要变动原因</w:t>
      </w:r>
      <w:r>
        <w:rPr>
          <w:rFonts w:hint="eastAsia" w:eastAsia="仿宋_GB2312"/>
          <w:sz w:val="32"/>
          <w:szCs w:val="32"/>
        </w:rPr>
        <w:t>人员经费正常变动</w:t>
      </w:r>
      <w:r>
        <w:rPr>
          <w:rFonts w:hint="eastAsia" w:eastAsia="仿宋_GB2312"/>
          <w:sz w:val="32"/>
          <w:szCs w:val="32"/>
          <w:lang w:eastAsia="zh-CN"/>
        </w:rPr>
        <w:t>、项目减少</w:t>
      </w:r>
      <w:r>
        <w:rPr>
          <w:rFonts w:eastAsia="仿宋_GB2312"/>
          <w:sz w:val="32"/>
          <w:szCs w:val="32"/>
        </w:rPr>
        <w:t>。</w:t>
      </w:r>
    </w:p>
    <w:p>
      <w:pPr>
        <w:pStyle w:val="4"/>
        <w:snapToGrid w:val="0"/>
        <w:spacing w:before="0" w:after="0" w:line="576" w:lineRule="exact"/>
        <w:ind w:firstLine="642" w:firstLineChars="200"/>
        <w:rPr>
          <w:rFonts w:ascii="黑体" w:hAnsi="黑体" w:eastAsia="黑体" w:cs="黑体"/>
          <w:b w:val="0"/>
        </w:rPr>
      </w:pPr>
      <w:r>
        <w:rPr>
          <w:rFonts w:ascii="仿宋" w:hAnsi="仿宋" w:eastAsia="仿宋"/>
          <w:color w:val="000000"/>
          <w:sz w:val="32"/>
          <w:szCs w:val="32"/>
        </w:rPr>
        <w:pict>
          <v:shape id="_x0000_s1042" o:spid="_x0000_s1042" o:spt="75" type="#_x0000_t75" style="position:absolute;left:0pt;margin-left:2.3pt;margin-top:4.55pt;height:148.65pt;width:446.7pt;mso-wrap-distance-bottom:0pt;mso-wrap-distance-top:0pt;z-index:251664384;mso-width-relative:page;mso-height-relative:page;" o:ole="t" filled="f" o:preferrelative="t" stroked="f" coordsize="21600,21600">
            <v:path/>
            <v:fill on="f" focussize="0,0"/>
            <v:stroke on="f"/>
            <v:imagedata r:id="rId7" o:title=""/>
            <o:lock v:ext="edit" aspectratio="t"/>
            <w10:wrap type="topAndBottom"/>
          </v:shape>
          <o:OLEObject Type="Embed" ProgID="Excel.Chart.8" ShapeID="_x0000_s1042" DrawAspect="Content" ObjectID="_1468075728" r:id="rId12">
            <o:LockedField>false</o:LockedField>
          </o:OLEObject>
        </w:pict>
      </w:r>
    </w:p>
    <w:p>
      <w:pPr>
        <w:snapToGrid w:val="0"/>
        <w:spacing w:line="576" w:lineRule="exact"/>
        <w:ind w:firstLine="640" w:firstLineChars="200"/>
        <w:rPr>
          <w:rFonts w:eastAsia="仿宋_GB2312"/>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pStyle w:val="4"/>
        <w:snapToGrid w:val="0"/>
        <w:spacing w:before="0" w:after="0" w:line="576" w:lineRule="exact"/>
        <w:ind w:firstLine="640" w:firstLineChars="200"/>
        <w:rPr>
          <w:rFonts w:ascii="黑体" w:hAnsi="黑体" w:eastAsia="黑体" w:cs="黑体"/>
          <w:b w:val="0"/>
        </w:rPr>
      </w:pPr>
      <w:r>
        <w:rPr>
          <w:rFonts w:ascii="黑体" w:hAnsi="黑体" w:eastAsia="黑体" w:cs="黑体"/>
          <w:b w:val="0"/>
        </w:rPr>
        <w:t>五、一般公共</w:t>
      </w:r>
      <w:r>
        <w:rPr>
          <w:rFonts w:hint="eastAsia" w:ascii="黑体" w:hAnsi="黑体" w:eastAsia="黑体" w:cs="黑体"/>
          <w:b w:val="0"/>
          <w:highlight w:val="none"/>
          <w:lang w:eastAsia="zh-CN"/>
        </w:rPr>
        <w:t>预算</w:t>
      </w:r>
      <w:r>
        <w:rPr>
          <w:rFonts w:ascii="黑体" w:hAnsi="黑体" w:eastAsia="黑体" w:cs="黑体"/>
          <w:b w:val="0"/>
        </w:rPr>
        <w:t>财政拨款支出决算情况说明</w:t>
      </w:r>
      <w:bookmarkEnd w:id="39"/>
      <w:bookmarkEnd w:id="40"/>
      <w:bookmarkEnd w:id="41"/>
    </w:p>
    <w:p>
      <w:pPr>
        <w:snapToGrid w:val="0"/>
        <w:spacing w:line="576" w:lineRule="exact"/>
        <w:ind w:firstLine="642" w:firstLineChars="200"/>
        <w:outlineLvl w:val="2"/>
        <w:rPr>
          <w:rFonts w:eastAsia="仿宋_GB2312"/>
          <w:b/>
          <w:sz w:val="32"/>
          <w:szCs w:val="32"/>
        </w:rPr>
      </w:pPr>
      <w:bookmarkStart w:id="42" w:name="_Toc15377210"/>
      <w:r>
        <w:rPr>
          <w:rFonts w:eastAsia="仿宋_GB2312"/>
          <w:b/>
          <w:sz w:val="32"/>
          <w:szCs w:val="32"/>
        </w:rPr>
        <w:t>（一）一般公共</w:t>
      </w:r>
      <w:r>
        <w:rPr>
          <w:rFonts w:hint="eastAsia" w:eastAsia="仿宋_GB2312"/>
          <w:b/>
          <w:sz w:val="32"/>
          <w:szCs w:val="32"/>
          <w:lang w:eastAsia="zh-CN"/>
        </w:rPr>
        <w:t>预算</w:t>
      </w:r>
      <w:r>
        <w:rPr>
          <w:rFonts w:eastAsia="仿宋_GB2312"/>
          <w:b/>
          <w:sz w:val="32"/>
          <w:szCs w:val="32"/>
        </w:rPr>
        <w:t>财政拨款支出决算总体情况</w:t>
      </w:r>
      <w:bookmarkEnd w:id="42"/>
    </w:p>
    <w:p>
      <w:pPr>
        <w:snapToGrid w:val="0"/>
        <w:spacing w:line="572" w:lineRule="exact"/>
        <w:ind w:firstLine="640" w:firstLineChars="200"/>
        <w:rPr>
          <w:rFonts w:ascii="仿宋" w:hAnsi="仿宋" w:eastAsia="仿宋"/>
          <w:color w:val="000000"/>
          <w:sz w:val="32"/>
          <w:szCs w:val="32"/>
        </w:rPr>
      </w:pPr>
      <w:r>
        <w:rPr>
          <w:rFonts w:eastAsia="仿宋_GB2312"/>
          <w:sz w:val="32"/>
          <w:szCs w:val="32"/>
        </w:rPr>
        <w:t>202</w:t>
      </w:r>
      <w:r>
        <w:rPr>
          <w:rFonts w:hint="eastAsia" w:eastAsia="仿宋_GB2312"/>
          <w:sz w:val="32"/>
          <w:szCs w:val="32"/>
          <w:lang w:val="en-US" w:eastAsia="zh-CN"/>
        </w:rPr>
        <w:t>2</w:t>
      </w:r>
      <w:r>
        <w:rPr>
          <w:rFonts w:eastAsia="仿宋_GB2312"/>
          <w:sz w:val="32"/>
          <w:szCs w:val="32"/>
        </w:rPr>
        <w:t>年一般公共</w:t>
      </w:r>
      <w:r>
        <w:rPr>
          <w:rFonts w:hint="eastAsia" w:eastAsia="仿宋_GB2312"/>
          <w:sz w:val="32"/>
          <w:szCs w:val="32"/>
          <w:lang w:eastAsia="zh-CN"/>
        </w:rPr>
        <w:t>预算</w:t>
      </w:r>
      <w:r>
        <w:rPr>
          <w:rFonts w:eastAsia="仿宋_GB2312"/>
          <w:sz w:val="32"/>
          <w:szCs w:val="32"/>
        </w:rPr>
        <w:t>财政拨款支出</w:t>
      </w:r>
      <w:r>
        <w:rPr>
          <w:rFonts w:hint="eastAsia" w:eastAsia="仿宋_GB2312"/>
          <w:sz w:val="32"/>
          <w:szCs w:val="32"/>
          <w:lang w:val="en-US" w:eastAsia="zh-CN"/>
        </w:rPr>
        <w:t>1685.8</w:t>
      </w:r>
      <w:r>
        <w:rPr>
          <w:rFonts w:eastAsia="仿宋_GB2312"/>
          <w:sz w:val="32"/>
          <w:szCs w:val="32"/>
        </w:rPr>
        <w:t>万元，占本年支出合计的100%。与202</w:t>
      </w:r>
      <w:r>
        <w:rPr>
          <w:rFonts w:hint="eastAsia" w:eastAsia="仿宋_GB2312"/>
          <w:sz w:val="32"/>
          <w:szCs w:val="32"/>
          <w:lang w:val="en-US" w:eastAsia="zh-CN"/>
        </w:rPr>
        <w:t>1</w:t>
      </w:r>
      <w:r>
        <w:rPr>
          <w:rFonts w:eastAsia="仿宋_GB2312"/>
          <w:sz w:val="32"/>
          <w:szCs w:val="32"/>
        </w:rPr>
        <w:t>年相比，一般公共</w:t>
      </w:r>
      <w:r>
        <w:rPr>
          <w:rFonts w:hint="eastAsia" w:eastAsia="仿宋_GB2312"/>
          <w:sz w:val="32"/>
          <w:szCs w:val="32"/>
          <w:lang w:eastAsia="zh-CN"/>
        </w:rPr>
        <w:t>预算</w:t>
      </w:r>
      <w:r>
        <w:rPr>
          <w:rFonts w:eastAsia="仿宋_GB2312"/>
          <w:sz w:val="32"/>
          <w:szCs w:val="32"/>
        </w:rPr>
        <w:t>财政拨款支出</w:t>
      </w:r>
      <w:r>
        <w:rPr>
          <w:rFonts w:hint="eastAsia" w:eastAsia="仿宋_GB2312"/>
          <w:sz w:val="32"/>
          <w:szCs w:val="32"/>
          <w:lang w:eastAsia="zh-CN"/>
        </w:rPr>
        <w:t>减少</w:t>
      </w:r>
      <w:r>
        <w:rPr>
          <w:rFonts w:hint="eastAsia" w:eastAsia="仿宋_GB2312"/>
          <w:sz w:val="32"/>
          <w:szCs w:val="32"/>
          <w:lang w:val="en-US" w:eastAsia="zh-CN"/>
        </w:rPr>
        <w:t>106.09</w:t>
      </w:r>
      <w:r>
        <w:rPr>
          <w:rFonts w:eastAsia="仿宋_GB2312"/>
          <w:sz w:val="32"/>
          <w:szCs w:val="32"/>
        </w:rPr>
        <w:t>万元，</w:t>
      </w:r>
      <w:r>
        <w:rPr>
          <w:rFonts w:hint="eastAsia" w:eastAsia="仿宋_GB2312"/>
          <w:sz w:val="32"/>
          <w:szCs w:val="32"/>
          <w:lang w:eastAsia="zh-CN"/>
        </w:rPr>
        <w:t>减幅</w:t>
      </w:r>
      <w:r>
        <w:rPr>
          <w:rFonts w:hint="eastAsia" w:eastAsia="仿宋_GB2312"/>
          <w:sz w:val="32"/>
          <w:szCs w:val="32"/>
          <w:lang w:val="en-US" w:eastAsia="zh-CN"/>
        </w:rPr>
        <w:t>5.9</w:t>
      </w:r>
      <w:r>
        <w:rPr>
          <w:rFonts w:hint="eastAsia" w:eastAsia="仿宋_GB2312"/>
          <w:sz w:val="32"/>
          <w:szCs w:val="32"/>
        </w:rPr>
        <w:t>%.</w:t>
      </w:r>
      <w:r>
        <w:rPr>
          <w:rFonts w:eastAsia="仿宋_GB2312"/>
          <w:sz w:val="32"/>
          <w:szCs w:val="32"/>
        </w:rPr>
        <w:t>主要变动原因</w:t>
      </w:r>
      <w:r>
        <w:rPr>
          <w:rFonts w:hint="eastAsia" w:eastAsia="仿宋_GB2312"/>
          <w:sz w:val="32"/>
          <w:szCs w:val="32"/>
        </w:rPr>
        <w:t>人员经费正常变动</w:t>
      </w:r>
      <w:r>
        <w:rPr>
          <w:rFonts w:hint="eastAsia" w:eastAsia="仿宋_GB2312"/>
          <w:sz w:val="32"/>
          <w:szCs w:val="32"/>
          <w:lang w:eastAsia="zh-CN"/>
        </w:rPr>
        <w:t>、项目减少</w:t>
      </w:r>
      <w:r>
        <w:rPr>
          <w:rFonts w:eastAsia="仿宋_GB2312"/>
          <w:sz w:val="32"/>
          <w:szCs w:val="32"/>
        </w:rPr>
        <w:t>。</w:t>
      </w:r>
    </w:p>
    <w:p>
      <w:pPr>
        <w:snapToGrid w:val="0"/>
        <w:spacing w:line="572" w:lineRule="exact"/>
        <w:ind w:firstLine="640" w:firstLineChars="200"/>
        <w:rPr>
          <w:sz w:val="32"/>
          <w:szCs w:val="32"/>
        </w:rPr>
      </w:pPr>
    </w:p>
    <w:p>
      <w:pPr>
        <w:pStyle w:val="7"/>
        <w:spacing w:before="93"/>
        <w:rPr>
          <w:rFonts w:ascii="Times New Roman"/>
          <w:sz w:val="32"/>
          <w:szCs w:val="32"/>
        </w:rPr>
      </w:pPr>
      <w:r>
        <w:rPr>
          <w:rFonts w:ascii="仿宋" w:hAnsi="仿宋" w:eastAsia="仿宋"/>
          <w:color w:val="000000"/>
          <w:sz w:val="32"/>
          <w:szCs w:val="32"/>
        </w:rPr>
        <w:pict>
          <v:shape id="Object 10" o:spid="_x0000_s1034" o:spt="75" type="#_x0000_t75" style="position:absolute;left:0pt;margin-left:17.9pt;margin-top:9.6pt;height:151.7pt;width:373.35pt;mso-wrap-distance-left:9pt;mso-wrap-distance-right:9pt;z-index:-251654144;mso-width-relative:page;mso-height-relative:page;" o:ole="t" filled="f" o:preferrelative="t" stroked="f" coordsize="21600,21600" wrapcoords="21592 -2 0 0 0 21600 21592 21602 8 21602 21600 21600 21600 0 8 -2 21592 -2">
            <v:path/>
            <v:fill on="f" focussize="0,0"/>
            <v:stroke on="f"/>
            <v:imagedata r:id="rId14" o:title=""/>
            <o:lock v:ext="edit" aspectratio="t"/>
            <w10:wrap type="tight"/>
          </v:shape>
          <o:OLEObject Type="Embed" ProgID="Excel.Chart.8" ShapeID="Object 10" DrawAspect="Content" ObjectID="_1468075729" r:id="rId13">
            <o:LockedField>false</o:LockedField>
          </o:OLEObject>
        </w:pict>
      </w:r>
    </w:p>
    <w:p>
      <w:pPr>
        <w:pStyle w:val="7"/>
        <w:spacing w:before="93"/>
        <w:rPr>
          <w:rFonts w:ascii="Times New Roman"/>
          <w:sz w:val="32"/>
          <w:szCs w:val="32"/>
        </w:rPr>
      </w:pPr>
    </w:p>
    <w:p>
      <w:pPr>
        <w:spacing w:line="600" w:lineRule="exact"/>
        <w:rPr>
          <w:rFonts w:ascii="仿宋" w:hAnsi="仿宋" w:eastAsia="仿宋"/>
          <w:color w:val="000000"/>
          <w:sz w:val="32"/>
          <w:szCs w:val="32"/>
        </w:rPr>
      </w:pPr>
    </w:p>
    <w:p>
      <w:pPr>
        <w:pStyle w:val="7"/>
        <w:spacing w:before="93"/>
      </w:pPr>
    </w:p>
    <w:p>
      <w:pPr>
        <w:spacing w:line="600" w:lineRule="exact"/>
        <w:rPr>
          <w:rFonts w:ascii="仿宋" w:hAnsi="仿宋" w:eastAsia="仿宋"/>
          <w:color w:val="000000"/>
          <w:sz w:val="32"/>
          <w:szCs w:val="32"/>
        </w:rPr>
      </w:pPr>
    </w:p>
    <w:p>
      <w:pPr>
        <w:spacing w:line="600" w:lineRule="exact"/>
        <w:rPr>
          <w:rFonts w:eastAsia="仿宋_GB2312"/>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napToGrid w:val="0"/>
        <w:spacing w:line="576" w:lineRule="exact"/>
        <w:ind w:firstLine="642" w:firstLineChars="200"/>
        <w:outlineLvl w:val="2"/>
        <w:rPr>
          <w:rFonts w:eastAsia="仿宋_GB2312"/>
          <w:b/>
          <w:sz w:val="32"/>
          <w:szCs w:val="32"/>
        </w:rPr>
      </w:pPr>
      <w:bookmarkStart w:id="43" w:name="_Toc15377211"/>
      <w:r>
        <w:rPr>
          <w:rFonts w:eastAsia="仿宋_GB2312"/>
          <w:b/>
          <w:sz w:val="32"/>
          <w:szCs w:val="32"/>
        </w:rPr>
        <w:t>（二）一般公共</w:t>
      </w:r>
      <w:r>
        <w:rPr>
          <w:rFonts w:hint="eastAsia" w:eastAsia="仿宋_GB2312"/>
          <w:b/>
          <w:sz w:val="32"/>
          <w:szCs w:val="32"/>
          <w:lang w:eastAsia="zh-CN"/>
        </w:rPr>
        <w:t>预算</w:t>
      </w:r>
      <w:r>
        <w:rPr>
          <w:rFonts w:eastAsia="仿宋_GB2312"/>
          <w:b/>
          <w:sz w:val="32"/>
          <w:szCs w:val="32"/>
        </w:rPr>
        <w:t>财政拨款支出决算结构情况</w:t>
      </w:r>
      <w:bookmarkEnd w:id="43"/>
    </w:p>
    <w:p>
      <w:pPr>
        <w:snapToGrid w:val="0"/>
        <w:spacing w:line="572" w:lineRule="exact"/>
        <w:ind w:firstLine="640" w:firstLineChars="200"/>
        <w:rPr>
          <w:rFonts w:hint="eastAsia" w:eastAsia="仿宋_GB2312"/>
          <w:sz w:val="32"/>
          <w:szCs w:val="32"/>
        </w:rPr>
      </w:pPr>
      <w:r>
        <w:rPr>
          <w:rFonts w:hint="eastAsia" w:eastAsia="仿宋_GB2312"/>
          <w:sz w:val="32"/>
          <w:szCs w:val="32"/>
        </w:rPr>
        <w:t>202</w:t>
      </w:r>
      <w:r>
        <w:rPr>
          <w:rFonts w:hint="eastAsia" w:eastAsia="仿宋_GB2312"/>
          <w:sz w:val="32"/>
          <w:szCs w:val="32"/>
          <w:lang w:val="en-US" w:eastAsia="zh-CN"/>
        </w:rPr>
        <w:t>2</w:t>
      </w:r>
      <w:r>
        <w:rPr>
          <w:rFonts w:hint="eastAsia" w:eastAsia="仿宋_GB2312"/>
          <w:sz w:val="32"/>
          <w:szCs w:val="32"/>
        </w:rPr>
        <w:t>年一般公共</w:t>
      </w:r>
      <w:r>
        <w:rPr>
          <w:rFonts w:hint="eastAsia" w:eastAsia="仿宋_GB2312"/>
          <w:sz w:val="32"/>
          <w:szCs w:val="32"/>
          <w:lang w:eastAsia="zh-CN"/>
        </w:rPr>
        <w:t>预算</w:t>
      </w:r>
      <w:r>
        <w:rPr>
          <w:rFonts w:hint="eastAsia" w:eastAsia="仿宋_GB2312"/>
          <w:sz w:val="32"/>
          <w:szCs w:val="32"/>
        </w:rPr>
        <w:t>财政拨款支出</w:t>
      </w:r>
      <w:r>
        <w:rPr>
          <w:rFonts w:hint="eastAsia" w:eastAsia="仿宋_GB2312"/>
          <w:sz w:val="32"/>
          <w:szCs w:val="32"/>
          <w:lang w:val="en-US" w:eastAsia="zh-CN"/>
        </w:rPr>
        <w:t>1685.8</w:t>
      </w:r>
      <w:r>
        <w:rPr>
          <w:rFonts w:hint="eastAsia" w:eastAsia="仿宋_GB2312"/>
          <w:sz w:val="32"/>
          <w:szCs w:val="32"/>
        </w:rPr>
        <w:t>万元，主要用于以下方面:一般公共服务支出611.46万元，占</w:t>
      </w:r>
      <w:r>
        <w:rPr>
          <w:rFonts w:hint="eastAsia" w:eastAsia="仿宋_GB2312"/>
          <w:sz w:val="32"/>
          <w:szCs w:val="32"/>
          <w:lang w:val="en-US" w:eastAsia="zh-CN"/>
        </w:rPr>
        <w:t>37</w:t>
      </w:r>
      <w:r>
        <w:rPr>
          <w:rFonts w:hint="eastAsia" w:eastAsia="仿宋_GB2312"/>
          <w:sz w:val="32"/>
          <w:szCs w:val="32"/>
        </w:rPr>
        <w:t>%；公共安全支出6.89万元，占0.</w:t>
      </w:r>
      <w:r>
        <w:rPr>
          <w:rFonts w:hint="eastAsia" w:eastAsia="仿宋_GB2312"/>
          <w:sz w:val="32"/>
          <w:szCs w:val="32"/>
          <w:lang w:val="en-US" w:eastAsia="zh-CN"/>
        </w:rPr>
        <w:t>41</w:t>
      </w:r>
      <w:r>
        <w:rPr>
          <w:rFonts w:hint="eastAsia" w:eastAsia="仿宋_GB2312"/>
          <w:sz w:val="32"/>
          <w:szCs w:val="32"/>
        </w:rPr>
        <w:t>%；社会保障和就业支出105.48万元，占</w:t>
      </w:r>
      <w:r>
        <w:rPr>
          <w:rFonts w:hint="eastAsia" w:eastAsia="仿宋_GB2312"/>
          <w:sz w:val="32"/>
          <w:szCs w:val="32"/>
          <w:lang w:val="en-US" w:eastAsia="zh-CN"/>
        </w:rPr>
        <w:t>6.25</w:t>
      </w:r>
      <w:r>
        <w:rPr>
          <w:rFonts w:hint="eastAsia" w:eastAsia="仿宋_GB2312"/>
          <w:sz w:val="32"/>
          <w:szCs w:val="32"/>
        </w:rPr>
        <w:t>%；卫生健康支出61.26万元，占3.</w:t>
      </w:r>
      <w:r>
        <w:rPr>
          <w:rFonts w:hint="eastAsia" w:eastAsia="仿宋_GB2312"/>
          <w:sz w:val="32"/>
          <w:szCs w:val="32"/>
          <w:lang w:val="en-US" w:eastAsia="zh-CN"/>
        </w:rPr>
        <w:t>63</w:t>
      </w:r>
      <w:r>
        <w:rPr>
          <w:rFonts w:hint="eastAsia" w:eastAsia="仿宋_GB2312"/>
          <w:sz w:val="32"/>
          <w:szCs w:val="32"/>
        </w:rPr>
        <w:t>%；城乡社区支出22.43万元，占1.</w:t>
      </w:r>
      <w:r>
        <w:rPr>
          <w:rFonts w:hint="eastAsia" w:eastAsia="仿宋_GB2312"/>
          <w:sz w:val="32"/>
          <w:szCs w:val="32"/>
          <w:lang w:val="en-US" w:eastAsia="zh-CN"/>
        </w:rPr>
        <w:t>33</w:t>
      </w:r>
      <w:r>
        <w:rPr>
          <w:rFonts w:hint="eastAsia" w:eastAsia="仿宋_GB2312"/>
          <w:sz w:val="32"/>
          <w:szCs w:val="32"/>
        </w:rPr>
        <w:t>%；农林水支出823.92万元，占</w:t>
      </w:r>
      <w:r>
        <w:rPr>
          <w:rFonts w:hint="eastAsia" w:eastAsia="仿宋_GB2312"/>
          <w:sz w:val="32"/>
          <w:szCs w:val="32"/>
          <w:lang w:val="en-US" w:eastAsia="zh-CN"/>
        </w:rPr>
        <w:t>48.87</w:t>
      </w:r>
      <w:r>
        <w:rPr>
          <w:rFonts w:hint="eastAsia" w:eastAsia="仿宋_GB2312"/>
          <w:sz w:val="32"/>
          <w:szCs w:val="32"/>
        </w:rPr>
        <w:t>%；住房保障支出42.35万元，占</w:t>
      </w:r>
      <w:r>
        <w:rPr>
          <w:rFonts w:hint="eastAsia" w:eastAsia="仿宋_GB2312"/>
          <w:sz w:val="32"/>
          <w:szCs w:val="32"/>
          <w:lang w:val="en-US" w:eastAsia="zh-CN"/>
        </w:rPr>
        <w:t>2.51</w:t>
      </w:r>
      <w:r>
        <w:rPr>
          <w:rFonts w:hint="eastAsia" w:eastAsia="仿宋_GB2312"/>
          <w:sz w:val="32"/>
          <w:szCs w:val="32"/>
        </w:rPr>
        <w:t>%。</w:t>
      </w:r>
    </w:p>
    <w:p>
      <w:pPr>
        <w:pStyle w:val="22"/>
        <w:rPr>
          <w:rFonts w:ascii="Times New Roman"/>
          <w:sz w:val="32"/>
          <w:szCs w:val="32"/>
        </w:rPr>
      </w:pPr>
    </w:p>
    <w:p>
      <w:pPr>
        <w:pStyle w:val="22"/>
        <w:rPr>
          <w:rFonts w:ascii="Times New Roman"/>
          <w:sz w:val="32"/>
          <w:szCs w:val="32"/>
        </w:rPr>
      </w:pPr>
      <w:r>
        <w:rPr>
          <w:rFonts w:ascii="仿宋" w:hAnsi="仿宋" w:eastAsia="仿宋"/>
          <w:color w:val="000000"/>
          <w:sz w:val="32"/>
          <w:szCs w:val="32"/>
        </w:rPr>
        <w:pict>
          <v:shape id="Object 11" o:spid="_x0000_s1045" o:spt="75" type="#_x0000_t75" style="position:absolute;left:0pt;margin-left:11.35pt;margin-top:14.2pt;height:161.25pt;width:406.3pt;mso-wrap-distance-left:9pt;mso-wrap-distance-right:9pt;z-index:-251651072;mso-width-relative:page;mso-height-relative:page;" o:ole="t" filled="f" o:preferrelative="t" stroked="f" coordsize="21600,21600" wrapcoords="21592 -2 0 0 0 21600 21592 21602 8 21602 21600 21600 21600 0 8 -2 21592 -2">
            <v:path/>
            <v:fill on="f" focussize="0,0"/>
            <v:stroke on="f"/>
            <v:imagedata r:id="rId16" o:title=""/>
            <o:lock v:ext="edit" aspectratio="t"/>
            <w10:wrap type="tight"/>
          </v:shape>
          <o:OLEObject Type="Embed" ProgID="Excel.Chart.8" ShapeID="Object 11" DrawAspect="Content" ObjectID="_1468075730" r:id="rId15">
            <o:LockedField>false</o:LockedField>
          </o:OLEObject>
        </w:pict>
      </w:r>
    </w:p>
    <w:p>
      <w:pPr>
        <w:pStyle w:val="22"/>
        <w:rPr>
          <w:rFonts w:ascii="Times New Roman"/>
          <w:sz w:val="32"/>
          <w:szCs w:val="32"/>
        </w:rPr>
      </w:pPr>
    </w:p>
    <w:p>
      <w:pPr>
        <w:pStyle w:val="22"/>
        <w:rPr>
          <w:rFonts w:ascii="Times New Roman"/>
          <w:sz w:val="32"/>
          <w:szCs w:val="32"/>
        </w:rPr>
      </w:pPr>
    </w:p>
    <w:p>
      <w:pPr>
        <w:pStyle w:val="22"/>
        <w:rPr>
          <w:rFonts w:ascii="Times New Roman"/>
          <w:sz w:val="32"/>
          <w:szCs w:val="32"/>
        </w:rPr>
      </w:pPr>
    </w:p>
    <w:p>
      <w:pPr>
        <w:pStyle w:val="22"/>
        <w:rPr>
          <w:rFonts w:ascii="Times New Roman"/>
          <w:sz w:val="32"/>
          <w:szCs w:val="32"/>
        </w:rPr>
      </w:pPr>
    </w:p>
    <w:p>
      <w:pPr>
        <w:pStyle w:val="7"/>
        <w:spacing w:before="93"/>
        <w:rPr>
          <w:rFonts w:ascii="Times New Roman"/>
          <w:sz w:val="32"/>
          <w:szCs w:val="32"/>
        </w:rPr>
      </w:pPr>
    </w:p>
    <w:p>
      <w:pPr>
        <w:spacing w:line="600" w:lineRule="exact"/>
        <w:ind w:firstLine="640" w:firstLineChars="200"/>
        <w:rPr>
          <w:rFonts w:eastAsia="仿宋_GB2312"/>
          <w:b/>
          <w:sz w:val="32"/>
          <w:szCs w:val="32"/>
        </w:rPr>
      </w:pPr>
      <w:bookmarkStart w:id="44" w:name="_Toc15377212"/>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napToGrid w:val="0"/>
        <w:spacing w:line="576" w:lineRule="exact"/>
        <w:ind w:firstLine="642" w:firstLineChars="200"/>
        <w:outlineLvl w:val="2"/>
        <w:rPr>
          <w:rFonts w:eastAsia="仿宋_GB2312"/>
          <w:b/>
          <w:sz w:val="32"/>
          <w:szCs w:val="32"/>
          <w:highlight w:val="red"/>
        </w:rPr>
      </w:pPr>
      <w:r>
        <w:rPr>
          <w:rFonts w:eastAsia="仿宋_GB2312"/>
          <w:b/>
          <w:sz w:val="32"/>
          <w:szCs w:val="32"/>
          <w:highlight w:val="none"/>
        </w:rPr>
        <w:t>（三）一般公共</w:t>
      </w:r>
      <w:r>
        <w:rPr>
          <w:rFonts w:hint="eastAsia" w:eastAsia="仿宋_GB2312"/>
          <w:b/>
          <w:sz w:val="32"/>
          <w:szCs w:val="32"/>
          <w:highlight w:val="none"/>
          <w:lang w:eastAsia="zh-CN"/>
        </w:rPr>
        <w:t>预算</w:t>
      </w:r>
      <w:r>
        <w:rPr>
          <w:rFonts w:eastAsia="仿宋_GB2312"/>
          <w:b/>
          <w:sz w:val="32"/>
          <w:szCs w:val="32"/>
          <w:highlight w:val="none"/>
        </w:rPr>
        <w:t>财政拨款支出决算具体情况</w:t>
      </w:r>
      <w:bookmarkEnd w:id="44"/>
    </w:p>
    <w:p>
      <w:pPr>
        <w:snapToGrid w:val="0"/>
        <w:spacing w:line="576" w:lineRule="exact"/>
        <w:ind w:firstLine="640" w:firstLineChars="200"/>
        <w:rPr>
          <w:rFonts w:eastAsia="仿宋_GB2312"/>
          <w:sz w:val="32"/>
          <w:szCs w:val="32"/>
          <w:highlight w:val="none"/>
        </w:rPr>
      </w:pPr>
      <w:bookmarkStart w:id="45" w:name="_Toc15377213"/>
      <w:bookmarkStart w:id="46" w:name="_Toc15378460"/>
      <w:bookmarkStart w:id="47" w:name="_Toc15377444"/>
      <w:r>
        <w:rPr>
          <w:rFonts w:eastAsia="仿宋_GB2312"/>
          <w:sz w:val="32"/>
          <w:szCs w:val="32"/>
          <w:highlight w:val="none"/>
        </w:rPr>
        <w:t>202</w:t>
      </w:r>
      <w:r>
        <w:rPr>
          <w:rFonts w:hint="eastAsia" w:eastAsia="仿宋_GB2312"/>
          <w:sz w:val="32"/>
          <w:szCs w:val="32"/>
          <w:highlight w:val="none"/>
          <w:lang w:val="en-US" w:eastAsia="zh-CN"/>
        </w:rPr>
        <w:t>2</w:t>
      </w:r>
      <w:r>
        <w:rPr>
          <w:rFonts w:eastAsia="仿宋_GB2312"/>
          <w:sz w:val="32"/>
          <w:szCs w:val="32"/>
          <w:highlight w:val="none"/>
        </w:rPr>
        <w:t>年一般公共</w:t>
      </w:r>
      <w:r>
        <w:rPr>
          <w:rFonts w:hint="eastAsia" w:eastAsia="仿宋_GB2312"/>
          <w:sz w:val="32"/>
          <w:szCs w:val="32"/>
          <w:highlight w:val="none"/>
          <w:lang w:eastAsia="zh-CN"/>
        </w:rPr>
        <w:t>预算</w:t>
      </w:r>
      <w:r>
        <w:rPr>
          <w:rFonts w:eastAsia="仿宋_GB2312"/>
          <w:sz w:val="32"/>
          <w:szCs w:val="32"/>
          <w:highlight w:val="none"/>
        </w:rPr>
        <w:t>支出决算数为</w:t>
      </w:r>
      <w:r>
        <w:rPr>
          <w:rFonts w:hint="eastAsia" w:eastAsia="仿宋_GB2312"/>
          <w:sz w:val="32"/>
          <w:szCs w:val="32"/>
          <w:highlight w:val="none"/>
          <w:lang w:val="en-US" w:eastAsia="zh-CN"/>
        </w:rPr>
        <w:t>1685.8</w:t>
      </w:r>
      <w:r>
        <w:rPr>
          <w:rFonts w:eastAsia="仿宋_GB2312"/>
          <w:sz w:val="32"/>
          <w:szCs w:val="32"/>
          <w:highlight w:val="none"/>
        </w:rPr>
        <w:t>万元，完成预算100%。其中：</w:t>
      </w:r>
      <w:bookmarkEnd w:id="45"/>
      <w:bookmarkEnd w:id="46"/>
      <w:bookmarkEnd w:id="47"/>
    </w:p>
    <w:p>
      <w:pPr>
        <w:snapToGrid w:val="0"/>
        <w:spacing w:line="576" w:lineRule="exact"/>
        <w:ind w:firstLine="640" w:firstLineChars="200"/>
        <w:rPr>
          <w:rFonts w:eastAsia="仿宋_GB2312"/>
          <w:sz w:val="32"/>
          <w:szCs w:val="32"/>
          <w:highlight w:val="none"/>
        </w:rPr>
      </w:pPr>
      <w:r>
        <w:rPr>
          <w:rFonts w:eastAsia="仿宋_GB2312"/>
          <w:sz w:val="32"/>
          <w:szCs w:val="32"/>
          <w:highlight w:val="none"/>
        </w:rPr>
        <w:t>1、一般公共服务（类）人大事务（款）行政运行（项）</w:t>
      </w:r>
      <w:r>
        <w:rPr>
          <w:rFonts w:hint="eastAsia" w:eastAsia="仿宋_GB2312"/>
          <w:sz w:val="32"/>
          <w:szCs w:val="32"/>
          <w:highlight w:val="none"/>
          <w:lang w:val="en-US" w:eastAsia="zh-CN"/>
        </w:rPr>
        <w:t>:支出</w:t>
      </w:r>
      <w:r>
        <w:rPr>
          <w:rFonts w:eastAsia="仿宋_GB2312"/>
          <w:sz w:val="32"/>
          <w:szCs w:val="32"/>
          <w:highlight w:val="none"/>
        </w:rPr>
        <w:t>决算数为</w:t>
      </w:r>
      <w:r>
        <w:rPr>
          <w:rFonts w:hint="eastAsia" w:eastAsia="仿宋_GB2312"/>
          <w:sz w:val="32"/>
          <w:szCs w:val="32"/>
          <w:highlight w:val="none"/>
        </w:rPr>
        <w:t>22.35</w:t>
      </w:r>
      <w:r>
        <w:rPr>
          <w:rFonts w:eastAsia="仿宋_GB2312"/>
          <w:sz w:val="32"/>
          <w:szCs w:val="32"/>
          <w:highlight w:val="none"/>
        </w:rPr>
        <w:t>万元，</w:t>
      </w:r>
      <w:r>
        <w:rPr>
          <w:rFonts w:hint="eastAsia" w:eastAsia="仿宋_GB2312"/>
          <w:sz w:val="32"/>
          <w:szCs w:val="32"/>
          <w:highlight w:val="none"/>
          <w:lang w:eastAsia="zh-CN"/>
        </w:rPr>
        <w:t>完成预算100%，决算数等于预算数。</w:t>
      </w:r>
      <w:r>
        <w:rPr>
          <w:rFonts w:eastAsia="仿宋_GB2312"/>
          <w:sz w:val="32"/>
          <w:szCs w:val="32"/>
          <w:highlight w:val="none"/>
        </w:rPr>
        <w:t>    </w:t>
      </w:r>
    </w:p>
    <w:p>
      <w:pPr>
        <w:snapToGrid w:val="0"/>
        <w:spacing w:line="576" w:lineRule="exact"/>
        <w:ind w:firstLine="640" w:firstLineChars="200"/>
        <w:rPr>
          <w:rFonts w:hint="eastAsia" w:eastAsia="仿宋_GB2312"/>
          <w:sz w:val="32"/>
          <w:szCs w:val="32"/>
          <w:highlight w:val="none"/>
          <w:lang w:eastAsia="zh-CN"/>
        </w:rPr>
      </w:pPr>
      <w:r>
        <w:rPr>
          <w:rFonts w:eastAsia="仿宋_GB2312"/>
          <w:sz w:val="32"/>
          <w:szCs w:val="32"/>
          <w:highlight w:val="none"/>
        </w:rPr>
        <w:t>2、一般公共服务（类）政府办公厅（室）及相关机构事务（款）行政运行（项）</w:t>
      </w:r>
      <w:r>
        <w:rPr>
          <w:rFonts w:hint="eastAsia" w:eastAsia="仿宋_GB2312"/>
          <w:sz w:val="32"/>
          <w:szCs w:val="32"/>
          <w:highlight w:val="none"/>
          <w:lang w:val="en-US" w:eastAsia="zh-CN"/>
        </w:rPr>
        <w:t>:支出</w:t>
      </w:r>
      <w:r>
        <w:rPr>
          <w:rFonts w:eastAsia="仿宋_GB2312"/>
          <w:sz w:val="32"/>
          <w:szCs w:val="32"/>
          <w:highlight w:val="none"/>
        </w:rPr>
        <w:t>决算数为</w:t>
      </w:r>
      <w:r>
        <w:rPr>
          <w:rFonts w:hint="eastAsia" w:eastAsia="仿宋_GB2312"/>
          <w:sz w:val="32"/>
          <w:szCs w:val="32"/>
          <w:highlight w:val="none"/>
        </w:rPr>
        <w:t>527.11</w:t>
      </w:r>
      <w:r>
        <w:rPr>
          <w:rFonts w:eastAsia="仿宋_GB2312"/>
          <w:sz w:val="32"/>
          <w:szCs w:val="32"/>
          <w:highlight w:val="none"/>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eastAsia="仿宋_GB2312"/>
          <w:sz w:val="32"/>
          <w:szCs w:val="32"/>
        </w:rPr>
      </w:pPr>
      <w:r>
        <w:rPr>
          <w:rFonts w:eastAsia="仿宋_GB2312"/>
          <w:sz w:val="32"/>
          <w:szCs w:val="32"/>
          <w:highlight w:val="none"/>
        </w:rPr>
        <w:t>3、一般公共服务（类）财政事务(款)行政运行(项)</w:t>
      </w:r>
      <w:r>
        <w:rPr>
          <w:rFonts w:hint="eastAsia" w:eastAsia="仿宋_GB2312"/>
          <w:sz w:val="32"/>
          <w:szCs w:val="32"/>
          <w:highlight w:val="none"/>
          <w:lang w:val="en-US" w:eastAsia="zh-CN"/>
        </w:rPr>
        <w:t>:支出</w:t>
      </w:r>
      <w:r>
        <w:rPr>
          <w:rFonts w:eastAsia="仿宋_GB2312"/>
          <w:sz w:val="32"/>
          <w:szCs w:val="32"/>
          <w:highlight w:val="none"/>
        </w:rPr>
        <w:t>决算数为</w:t>
      </w:r>
      <w:r>
        <w:rPr>
          <w:rFonts w:hint="eastAsia" w:eastAsia="仿宋_GB2312"/>
          <w:sz w:val="32"/>
          <w:szCs w:val="32"/>
          <w:highlight w:val="none"/>
        </w:rPr>
        <w:t>5.31</w:t>
      </w:r>
      <w:r>
        <w:rPr>
          <w:rFonts w:eastAsia="仿宋_GB2312"/>
          <w:sz w:val="32"/>
          <w:szCs w:val="32"/>
          <w:highlight w:val="none"/>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hint="eastAsia" w:eastAsia="仿宋_GB2312"/>
          <w:sz w:val="32"/>
          <w:szCs w:val="32"/>
          <w:highlight w:val="none"/>
          <w:lang w:eastAsia="zh-CN"/>
        </w:rPr>
      </w:pPr>
      <w:r>
        <w:rPr>
          <w:rFonts w:eastAsia="仿宋_GB2312"/>
          <w:sz w:val="32"/>
          <w:szCs w:val="32"/>
        </w:rPr>
        <w:t>4、一般公共服务（类）纪检监察事务（款）行政运行（项）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rPr>
        <w:t>7</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、一般公共服务（类）党委办公厅（室）及相关机构事务（款）行政运行（项）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rPr>
        <w:t>35.87</w:t>
      </w:r>
      <w:r>
        <w:rPr>
          <w:rFonts w:eastAsia="仿宋_GB2312"/>
          <w:sz w:val="32"/>
          <w:szCs w:val="32"/>
        </w:rPr>
        <w:t>万元，</w:t>
      </w:r>
      <w:r>
        <w:rPr>
          <w:rFonts w:hint="eastAsia" w:eastAsia="仿宋_GB2312"/>
          <w:sz w:val="32"/>
          <w:szCs w:val="32"/>
          <w:highlight w:val="none"/>
          <w:lang w:eastAsia="zh-CN"/>
        </w:rPr>
        <w:t>完成预算100%，决算数等于预算数。</w:t>
      </w:r>
      <w:r>
        <w:rPr>
          <w:rFonts w:eastAsia="仿宋_GB2312"/>
          <w:sz w:val="32"/>
          <w:szCs w:val="32"/>
        </w:rPr>
        <w:t> </w:t>
      </w:r>
    </w:p>
    <w:p>
      <w:pPr>
        <w:snapToGrid w:val="0"/>
        <w:spacing w:line="576" w:lineRule="exact"/>
        <w:ind w:firstLine="640" w:firstLineChars="200"/>
      </w:pPr>
      <w:r>
        <w:rPr>
          <w:rFonts w:hint="eastAsia" w:eastAsia="仿宋_GB2312"/>
          <w:sz w:val="32"/>
          <w:szCs w:val="32"/>
        </w:rPr>
        <w:t>6</w:t>
      </w:r>
      <w:r>
        <w:rPr>
          <w:rFonts w:eastAsia="仿宋_GB2312"/>
          <w:sz w:val="32"/>
          <w:szCs w:val="32"/>
        </w:rPr>
        <w:t>、一般公共服务（类）</w:t>
      </w:r>
      <w:r>
        <w:rPr>
          <w:rFonts w:hint="eastAsia" w:eastAsia="仿宋_GB2312"/>
          <w:sz w:val="32"/>
          <w:szCs w:val="32"/>
        </w:rPr>
        <w:t>宣传</w:t>
      </w:r>
      <w:r>
        <w:rPr>
          <w:rFonts w:eastAsia="仿宋_GB2312"/>
          <w:sz w:val="32"/>
          <w:szCs w:val="32"/>
        </w:rPr>
        <w:t>事务（款）</w:t>
      </w:r>
      <w:r>
        <w:rPr>
          <w:rFonts w:hint="eastAsia" w:eastAsia="仿宋_GB2312"/>
          <w:sz w:val="32"/>
          <w:szCs w:val="32"/>
          <w:lang w:eastAsia="zh-CN"/>
        </w:rPr>
        <w:t>事业</w:t>
      </w:r>
      <w:r>
        <w:rPr>
          <w:rFonts w:eastAsia="仿宋_GB2312"/>
          <w:sz w:val="32"/>
          <w:szCs w:val="32"/>
        </w:rPr>
        <w:t>运行（项）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rPr>
        <w:t xml:space="preserve"> 7.65</w:t>
      </w:r>
      <w:r>
        <w:rPr>
          <w:rFonts w:eastAsia="仿宋_GB2312"/>
          <w:sz w:val="32"/>
          <w:szCs w:val="32"/>
        </w:rPr>
        <w:t>万元，</w:t>
      </w:r>
      <w:r>
        <w:rPr>
          <w:rFonts w:hint="eastAsia" w:eastAsia="仿宋_GB2312"/>
          <w:sz w:val="32"/>
          <w:szCs w:val="32"/>
          <w:highlight w:val="none"/>
          <w:lang w:eastAsia="zh-CN"/>
        </w:rPr>
        <w:t>完成预算100%，决算数等于预算数</w:t>
      </w:r>
      <w:r>
        <w:rPr>
          <w:rFonts w:eastAsia="仿宋_GB2312"/>
          <w:sz w:val="32"/>
          <w:szCs w:val="32"/>
        </w:rPr>
        <w:t>。</w:t>
      </w:r>
    </w:p>
    <w:p>
      <w:pPr>
        <w:snapToGrid w:val="0"/>
        <w:spacing w:line="576" w:lineRule="exact"/>
        <w:ind w:firstLine="640" w:firstLineChars="200"/>
        <w:rPr>
          <w:rFonts w:eastAsia="仿宋_GB2312"/>
          <w:sz w:val="32"/>
          <w:szCs w:val="32"/>
        </w:rPr>
      </w:pPr>
      <w:r>
        <w:rPr>
          <w:rFonts w:hint="eastAsia" w:eastAsia="仿宋_GB2312"/>
          <w:sz w:val="32"/>
          <w:szCs w:val="32"/>
        </w:rPr>
        <w:t>7</w:t>
      </w:r>
      <w:r>
        <w:rPr>
          <w:rFonts w:eastAsia="仿宋_GB2312"/>
          <w:sz w:val="32"/>
          <w:szCs w:val="32"/>
        </w:rPr>
        <w:t>、一般公共服务（类）</w:t>
      </w:r>
      <w:r>
        <w:rPr>
          <w:rFonts w:hint="eastAsia" w:eastAsia="仿宋_GB2312"/>
          <w:sz w:val="32"/>
          <w:szCs w:val="32"/>
        </w:rPr>
        <w:t>统战</w:t>
      </w:r>
      <w:r>
        <w:rPr>
          <w:rFonts w:eastAsia="仿宋_GB2312"/>
          <w:sz w:val="32"/>
          <w:szCs w:val="32"/>
        </w:rPr>
        <w:t>事务（款）行政运行（项）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rPr>
        <w:t>6.17</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hint="eastAsia" w:eastAsia="仿宋_GB2312"/>
          <w:sz w:val="32"/>
          <w:szCs w:val="32"/>
          <w:highlight w:val="none"/>
          <w:lang w:eastAsia="zh-CN"/>
        </w:rPr>
      </w:pPr>
      <w:r>
        <w:rPr>
          <w:rFonts w:hint="eastAsia" w:eastAsia="仿宋_GB2312"/>
          <w:sz w:val="32"/>
          <w:szCs w:val="32"/>
        </w:rPr>
        <w:t>8</w:t>
      </w:r>
      <w:r>
        <w:rPr>
          <w:rFonts w:eastAsia="仿宋_GB2312"/>
          <w:sz w:val="32"/>
          <w:szCs w:val="32"/>
        </w:rPr>
        <w:t>、</w:t>
      </w:r>
      <w:r>
        <w:rPr>
          <w:rFonts w:hint="eastAsia" w:eastAsia="仿宋_GB2312"/>
          <w:sz w:val="32"/>
          <w:szCs w:val="32"/>
          <w:lang w:eastAsia="zh-CN"/>
        </w:rPr>
        <w:t>公共安全</w:t>
      </w:r>
      <w:r>
        <w:rPr>
          <w:rFonts w:eastAsia="仿宋_GB2312"/>
          <w:sz w:val="32"/>
          <w:szCs w:val="32"/>
        </w:rPr>
        <w:t>（类）</w:t>
      </w:r>
      <w:r>
        <w:rPr>
          <w:rFonts w:hint="eastAsia" w:eastAsia="仿宋_GB2312"/>
          <w:sz w:val="32"/>
          <w:szCs w:val="32"/>
          <w:lang w:eastAsia="zh-CN"/>
        </w:rPr>
        <w:t>国家安全</w:t>
      </w:r>
      <w:r>
        <w:rPr>
          <w:rFonts w:eastAsia="仿宋_GB2312"/>
          <w:sz w:val="32"/>
          <w:szCs w:val="32"/>
        </w:rPr>
        <w:t>（款）行政运行（项）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rPr>
        <w:t>6.89</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hint="eastAsia" w:eastAsia="仿宋_GB2312"/>
          <w:sz w:val="32"/>
          <w:szCs w:val="32"/>
          <w:highlight w:val="none"/>
          <w:lang w:eastAsia="zh-CN"/>
        </w:rPr>
      </w:pPr>
      <w:r>
        <w:rPr>
          <w:rFonts w:hint="eastAsia" w:eastAsia="仿宋_GB2312"/>
          <w:sz w:val="32"/>
          <w:szCs w:val="32"/>
        </w:rPr>
        <w:t>9</w:t>
      </w:r>
      <w:r>
        <w:rPr>
          <w:rFonts w:eastAsia="仿宋_GB2312"/>
          <w:sz w:val="32"/>
          <w:szCs w:val="32"/>
        </w:rPr>
        <w:t>、社会保障和就业（类）人力资源和社会保障管理事务（款）</w:t>
      </w:r>
      <w:r>
        <w:rPr>
          <w:rFonts w:hint="eastAsia" w:eastAsia="仿宋_GB2312"/>
          <w:sz w:val="32"/>
          <w:szCs w:val="32"/>
        </w:rPr>
        <w:t>行政</w:t>
      </w:r>
      <w:r>
        <w:rPr>
          <w:rFonts w:eastAsia="仿宋_GB2312"/>
          <w:sz w:val="32"/>
          <w:szCs w:val="32"/>
        </w:rPr>
        <w:t>运行（项）</w:t>
      </w:r>
      <w:r>
        <w:rPr>
          <w:rFonts w:hint="eastAsia" w:eastAsia="仿宋_GB2312"/>
          <w:sz w:val="32"/>
          <w:szCs w:val="32"/>
          <w:lang w:eastAsia="zh-CN"/>
        </w:rPr>
        <w:t>：支出</w:t>
      </w:r>
      <w:r>
        <w:rPr>
          <w:rFonts w:eastAsia="仿宋_GB2312"/>
          <w:sz w:val="32"/>
          <w:szCs w:val="32"/>
        </w:rPr>
        <w:t>决算</w:t>
      </w:r>
      <w:r>
        <w:rPr>
          <w:rFonts w:hint="eastAsia" w:eastAsia="仿宋_GB2312"/>
          <w:sz w:val="32"/>
          <w:szCs w:val="32"/>
        </w:rPr>
        <w:t>11.24</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eastAsia="仿宋_GB2312"/>
          <w:sz w:val="32"/>
          <w:szCs w:val="32"/>
        </w:rPr>
      </w:pPr>
      <w:r>
        <w:rPr>
          <w:rFonts w:hint="eastAsia" w:eastAsia="仿宋_GB2312"/>
          <w:sz w:val="32"/>
          <w:szCs w:val="32"/>
        </w:rPr>
        <w:t>10</w:t>
      </w:r>
      <w:r>
        <w:rPr>
          <w:rFonts w:eastAsia="仿宋_GB2312"/>
          <w:sz w:val="32"/>
          <w:szCs w:val="32"/>
        </w:rPr>
        <w:t>、社会保障和就业（类）</w:t>
      </w:r>
      <w:r>
        <w:rPr>
          <w:rFonts w:hint="eastAsia" w:eastAsia="仿宋_GB2312"/>
          <w:sz w:val="32"/>
          <w:szCs w:val="32"/>
        </w:rPr>
        <w:t>民政管理事务</w:t>
      </w:r>
      <w:r>
        <w:rPr>
          <w:rFonts w:eastAsia="仿宋_GB2312"/>
          <w:sz w:val="32"/>
          <w:szCs w:val="32"/>
        </w:rPr>
        <w:t>（款）</w:t>
      </w:r>
      <w:r>
        <w:rPr>
          <w:rFonts w:hint="eastAsia" w:eastAsia="仿宋_GB2312"/>
          <w:sz w:val="32"/>
          <w:szCs w:val="32"/>
          <w:lang w:eastAsia="zh-CN"/>
        </w:rPr>
        <w:t>机关服务</w:t>
      </w:r>
      <w:r>
        <w:rPr>
          <w:rFonts w:eastAsia="仿宋_GB2312"/>
          <w:sz w:val="32"/>
          <w:szCs w:val="32"/>
        </w:rPr>
        <w:t>（项）</w:t>
      </w:r>
      <w:r>
        <w:rPr>
          <w:rFonts w:hint="eastAsia" w:eastAsia="仿宋_GB2312"/>
          <w:sz w:val="32"/>
          <w:szCs w:val="32"/>
          <w:lang w:eastAsia="zh-CN"/>
        </w:rPr>
        <w:t>：支出</w:t>
      </w:r>
      <w:r>
        <w:rPr>
          <w:rFonts w:eastAsia="仿宋_GB2312"/>
          <w:sz w:val="32"/>
          <w:szCs w:val="32"/>
        </w:rPr>
        <w:t>决算</w:t>
      </w:r>
      <w:r>
        <w:rPr>
          <w:rFonts w:hint="eastAsia" w:eastAsia="仿宋_GB2312"/>
          <w:sz w:val="32"/>
          <w:szCs w:val="32"/>
        </w:rPr>
        <w:t>5.72</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eastAsia="仿宋_GB2312"/>
          <w:sz w:val="32"/>
          <w:szCs w:val="32"/>
        </w:rPr>
      </w:pPr>
      <w:r>
        <w:rPr>
          <w:rFonts w:hint="eastAsia" w:eastAsia="仿宋_GB2312"/>
          <w:sz w:val="32"/>
          <w:szCs w:val="32"/>
        </w:rPr>
        <w:t>11</w:t>
      </w:r>
      <w:r>
        <w:rPr>
          <w:rFonts w:eastAsia="仿宋_GB2312"/>
          <w:sz w:val="32"/>
          <w:szCs w:val="32"/>
        </w:rPr>
        <w:t>、社会保障和就业（类）行政事业单位养老支出（款）机关事业单位基本养老保险缴费支出（项）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rPr>
        <w:t>84.01</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hint="eastAsia" w:eastAsia="仿宋_GB2312"/>
          <w:sz w:val="32"/>
          <w:szCs w:val="32"/>
          <w:highlight w:val="none"/>
          <w:lang w:eastAsia="zh-CN"/>
        </w:rPr>
      </w:pPr>
      <w:r>
        <w:rPr>
          <w:rFonts w:hint="eastAsia" w:eastAsia="仿宋_GB2312"/>
          <w:sz w:val="32"/>
          <w:szCs w:val="32"/>
        </w:rPr>
        <w:t>12</w:t>
      </w:r>
      <w:r>
        <w:rPr>
          <w:rFonts w:eastAsia="仿宋_GB2312"/>
          <w:sz w:val="32"/>
          <w:szCs w:val="32"/>
        </w:rPr>
        <w:t>、社会保障和就业（类）</w:t>
      </w:r>
      <w:r>
        <w:rPr>
          <w:rFonts w:hint="eastAsia" w:eastAsia="仿宋_GB2312"/>
          <w:sz w:val="32"/>
          <w:szCs w:val="32"/>
        </w:rPr>
        <w:t>其他社会保障和就业</w:t>
      </w:r>
      <w:r>
        <w:rPr>
          <w:rFonts w:eastAsia="仿宋_GB2312"/>
          <w:sz w:val="32"/>
          <w:szCs w:val="32"/>
        </w:rPr>
        <w:t>支出支出（款）</w:t>
      </w:r>
      <w:r>
        <w:rPr>
          <w:rFonts w:hint="eastAsia" w:eastAsia="仿宋_GB2312"/>
          <w:sz w:val="32"/>
          <w:szCs w:val="32"/>
        </w:rPr>
        <w:t>其他社会保障和就业</w:t>
      </w:r>
      <w:r>
        <w:rPr>
          <w:rFonts w:eastAsia="仿宋_GB2312"/>
          <w:sz w:val="32"/>
          <w:szCs w:val="32"/>
        </w:rPr>
        <w:t>支出（项）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rPr>
        <w:t>4.51</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hint="eastAsia" w:eastAsia="仿宋_GB2312"/>
          <w:sz w:val="32"/>
          <w:szCs w:val="32"/>
          <w:highlight w:val="none"/>
          <w:lang w:eastAsia="zh-CN"/>
        </w:rPr>
      </w:pPr>
      <w:r>
        <w:rPr>
          <w:rFonts w:hint="eastAsia" w:eastAsia="仿宋_GB2312"/>
          <w:sz w:val="32"/>
          <w:szCs w:val="32"/>
        </w:rPr>
        <w:t>13、</w:t>
      </w:r>
      <w:r>
        <w:rPr>
          <w:rFonts w:eastAsia="仿宋_GB2312"/>
          <w:sz w:val="32"/>
          <w:szCs w:val="32"/>
        </w:rPr>
        <w:t>卫生健康（类）</w:t>
      </w:r>
      <w:r>
        <w:rPr>
          <w:rFonts w:hint="eastAsia" w:eastAsia="仿宋_GB2312"/>
          <w:sz w:val="32"/>
          <w:szCs w:val="32"/>
        </w:rPr>
        <w:t>卫生健康管理事务</w:t>
      </w:r>
      <w:r>
        <w:rPr>
          <w:rFonts w:eastAsia="仿宋_GB2312"/>
          <w:sz w:val="32"/>
          <w:szCs w:val="32"/>
        </w:rPr>
        <w:t>（款）</w:t>
      </w:r>
      <w:r>
        <w:rPr>
          <w:rFonts w:hint="eastAsia" w:eastAsia="仿宋_GB2312"/>
          <w:sz w:val="32"/>
          <w:szCs w:val="32"/>
          <w:lang w:eastAsia="zh-CN"/>
        </w:rPr>
        <w:t>机关服务</w:t>
      </w:r>
      <w:r>
        <w:rPr>
          <w:rFonts w:eastAsia="仿宋_GB2312"/>
          <w:sz w:val="32"/>
          <w:szCs w:val="32"/>
        </w:rPr>
        <w:t>（项）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rPr>
        <w:t>15.07</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eastAsia="仿宋_GB2312"/>
          <w:sz w:val="32"/>
          <w:szCs w:val="32"/>
        </w:rPr>
      </w:pPr>
      <w:r>
        <w:rPr>
          <w:rFonts w:hint="eastAsia" w:eastAsia="仿宋_GB2312"/>
          <w:sz w:val="32"/>
          <w:szCs w:val="32"/>
        </w:rPr>
        <w:t>14、</w:t>
      </w:r>
      <w:r>
        <w:rPr>
          <w:rFonts w:eastAsia="仿宋_GB2312"/>
          <w:sz w:val="32"/>
          <w:szCs w:val="32"/>
        </w:rPr>
        <w:t>卫生健康（类）行政事业单位医疗（款）行政单位医疗（项）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rPr>
        <w:t>20.16</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eastAsia="仿宋_GB2312"/>
          <w:sz w:val="32"/>
          <w:szCs w:val="32"/>
        </w:rPr>
      </w:pPr>
      <w:r>
        <w:rPr>
          <w:rFonts w:hint="eastAsia" w:eastAsia="仿宋_GB2312"/>
          <w:sz w:val="32"/>
          <w:szCs w:val="32"/>
        </w:rPr>
        <w:t>15、</w:t>
      </w:r>
      <w:r>
        <w:rPr>
          <w:rFonts w:eastAsia="仿宋_GB2312"/>
          <w:sz w:val="32"/>
          <w:szCs w:val="32"/>
        </w:rPr>
        <w:t>卫生健康（类）行政事业单位医疗（款）</w:t>
      </w:r>
      <w:r>
        <w:rPr>
          <w:rFonts w:hint="eastAsia" w:eastAsia="仿宋_GB2312"/>
          <w:sz w:val="32"/>
          <w:szCs w:val="32"/>
        </w:rPr>
        <w:t>事业</w:t>
      </w:r>
      <w:r>
        <w:rPr>
          <w:rFonts w:eastAsia="仿宋_GB2312"/>
          <w:sz w:val="32"/>
          <w:szCs w:val="32"/>
        </w:rPr>
        <w:t>单位医疗（项）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rPr>
        <w:t>26.03</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eastAsia="仿宋_GB2312"/>
          <w:sz w:val="32"/>
          <w:szCs w:val="32"/>
        </w:rPr>
      </w:pPr>
      <w:r>
        <w:rPr>
          <w:rFonts w:hint="eastAsia" w:eastAsia="仿宋_GB2312"/>
          <w:sz w:val="32"/>
          <w:szCs w:val="32"/>
        </w:rPr>
        <w:t>16、城乡社区</w:t>
      </w:r>
      <w:r>
        <w:rPr>
          <w:rFonts w:eastAsia="仿宋_GB2312"/>
          <w:sz w:val="32"/>
          <w:szCs w:val="32"/>
        </w:rPr>
        <w:t>（类）</w:t>
      </w:r>
      <w:r>
        <w:rPr>
          <w:rFonts w:hint="eastAsia" w:eastAsia="仿宋_GB2312"/>
          <w:sz w:val="32"/>
          <w:szCs w:val="32"/>
        </w:rPr>
        <w:t>城乡社区管理事务</w:t>
      </w:r>
      <w:r>
        <w:rPr>
          <w:rFonts w:eastAsia="仿宋_GB2312"/>
          <w:sz w:val="32"/>
          <w:szCs w:val="32"/>
        </w:rPr>
        <w:t>（款）</w:t>
      </w:r>
      <w:r>
        <w:rPr>
          <w:rFonts w:hint="eastAsia" w:eastAsia="仿宋_GB2312"/>
          <w:sz w:val="32"/>
          <w:szCs w:val="32"/>
        </w:rPr>
        <w:t>行政</w:t>
      </w:r>
      <w:r>
        <w:rPr>
          <w:rFonts w:eastAsia="仿宋_GB2312"/>
          <w:sz w:val="32"/>
          <w:szCs w:val="32"/>
        </w:rPr>
        <w:t>运行（项）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rPr>
        <w:t>22.43</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eastAsia="仿宋_GB2312"/>
          <w:sz w:val="32"/>
          <w:szCs w:val="32"/>
          <w:highlight w:val="cyan"/>
        </w:rPr>
      </w:pPr>
      <w:r>
        <w:rPr>
          <w:rFonts w:hint="eastAsia" w:eastAsia="仿宋_GB2312"/>
          <w:sz w:val="32"/>
          <w:szCs w:val="32"/>
        </w:rPr>
        <w:t>17、</w:t>
      </w:r>
      <w:r>
        <w:rPr>
          <w:rFonts w:eastAsia="仿宋_GB2312"/>
          <w:sz w:val="32"/>
          <w:szCs w:val="32"/>
        </w:rPr>
        <w:t>农林水（类）农业农村（款）</w:t>
      </w:r>
      <w:r>
        <w:rPr>
          <w:rFonts w:hint="eastAsia" w:eastAsia="仿宋_GB2312"/>
          <w:sz w:val="32"/>
          <w:szCs w:val="32"/>
          <w:lang w:eastAsia="zh-CN"/>
        </w:rPr>
        <w:t>事业运行</w:t>
      </w:r>
      <w:r>
        <w:rPr>
          <w:rFonts w:eastAsia="仿宋_GB2312"/>
          <w:sz w:val="32"/>
          <w:szCs w:val="32"/>
        </w:rPr>
        <w:t>（项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lang w:val="en-US" w:eastAsia="zh-CN"/>
        </w:rPr>
        <w:t>40.82</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hint="eastAsia" w:eastAsia="仿宋_GB2312"/>
          <w:sz w:val="32"/>
          <w:szCs w:val="32"/>
          <w:highlight w:val="none"/>
          <w:lang w:eastAsia="zh-CN"/>
        </w:rPr>
      </w:pPr>
      <w:r>
        <w:rPr>
          <w:rFonts w:hint="eastAsia" w:eastAsia="仿宋_GB2312"/>
          <w:sz w:val="32"/>
          <w:szCs w:val="32"/>
        </w:rPr>
        <w:t>1</w:t>
      </w:r>
      <w:r>
        <w:rPr>
          <w:rFonts w:hint="eastAsia" w:eastAsia="仿宋_GB2312"/>
          <w:sz w:val="32"/>
          <w:szCs w:val="32"/>
          <w:lang w:val="en-US" w:eastAsia="zh-CN"/>
        </w:rPr>
        <w:t>8</w:t>
      </w:r>
      <w:r>
        <w:rPr>
          <w:rFonts w:hint="eastAsia" w:eastAsia="仿宋_GB2312"/>
          <w:sz w:val="32"/>
          <w:szCs w:val="32"/>
        </w:rPr>
        <w:t>、</w:t>
      </w:r>
      <w:r>
        <w:rPr>
          <w:rFonts w:eastAsia="仿宋_GB2312"/>
          <w:sz w:val="32"/>
          <w:szCs w:val="32"/>
        </w:rPr>
        <w:t>农林水（类）</w:t>
      </w:r>
      <w:r>
        <w:rPr>
          <w:rFonts w:hint="eastAsia" w:eastAsia="仿宋_GB2312"/>
          <w:sz w:val="32"/>
          <w:szCs w:val="32"/>
        </w:rPr>
        <w:t>林业和草原</w:t>
      </w:r>
      <w:r>
        <w:rPr>
          <w:rFonts w:eastAsia="仿宋_GB2312"/>
          <w:sz w:val="32"/>
          <w:szCs w:val="32"/>
        </w:rPr>
        <w:t>（款）</w:t>
      </w:r>
      <w:r>
        <w:rPr>
          <w:rFonts w:hint="eastAsia" w:eastAsia="仿宋_GB2312"/>
          <w:sz w:val="32"/>
          <w:szCs w:val="32"/>
        </w:rPr>
        <w:t>行政</w:t>
      </w:r>
      <w:r>
        <w:rPr>
          <w:rFonts w:eastAsia="仿宋_GB2312"/>
          <w:sz w:val="32"/>
          <w:szCs w:val="32"/>
        </w:rPr>
        <w:t>运行（项）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rPr>
        <w:t>8.47</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pPr>
      <w:r>
        <w:rPr>
          <w:rFonts w:hint="eastAsia" w:eastAsia="仿宋_GB2312"/>
          <w:sz w:val="32"/>
          <w:szCs w:val="32"/>
        </w:rPr>
        <w:t>1</w:t>
      </w:r>
      <w:r>
        <w:rPr>
          <w:rFonts w:hint="eastAsia" w:eastAsia="仿宋_GB2312"/>
          <w:sz w:val="32"/>
          <w:szCs w:val="32"/>
          <w:lang w:val="en-US" w:eastAsia="zh-CN"/>
        </w:rPr>
        <w:t>9</w:t>
      </w:r>
      <w:r>
        <w:rPr>
          <w:rFonts w:hint="eastAsia" w:eastAsia="仿宋_GB2312"/>
          <w:sz w:val="32"/>
          <w:szCs w:val="32"/>
        </w:rPr>
        <w:t>、</w:t>
      </w:r>
      <w:r>
        <w:rPr>
          <w:rFonts w:eastAsia="仿宋_GB2312"/>
          <w:sz w:val="32"/>
          <w:szCs w:val="32"/>
        </w:rPr>
        <w:t>农林水（类）</w:t>
      </w:r>
      <w:r>
        <w:rPr>
          <w:rFonts w:hint="eastAsia" w:eastAsia="仿宋_GB2312"/>
          <w:sz w:val="32"/>
          <w:szCs w:val="32"/>
          <w:lang w:eastAsia="zh-CN"/>
        </w:rPr>
        <w:t>林业和草原</w:t>
      </w:r>
      <w:r>
        <w:rPr>
          <w:rFonts w:eastAsia="仿宋_GB2312"/>
          <w:sz w:val="32"/>
          <w:szCs w:val="32"/>
        </w:rPr>
        <w:t>（款）事业</w:t>
      </w:r>
      <w:r>
        <w:rPr>
          <w:rFonts w:hint="eastAsia" w:eastAsia="仿宋_GB2312"/>
          <w:sz w:val="32"/>
          <w:szCs w:val="32"/>
          <w:lang w:eastAsia="zh-CN"/>
        </w:rPr>
        <w:t>机构</w:t>
      </w:r>
      <w:r>
        <w:rPr>
          <w:rFonts w:eastAsia="仿宋_GB2312"/>
          <w:sz w:val="32"/>
          <w:szCs w:val="32"/>
        </w:rPr>
        <w:t>（项）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lang w:val="en-US" w:eastAsia="zh-CN"/>
        </w:rPr>
        <w:t>19.58</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eastAsia="仿宋_GB2312"/>
          <w:sz w:val="32"/>
          <w:szCs w:val="32"/>
        </w:rPr>
      </w:pPr>
      <w:r>
        <w:rPr>
          <w:rFonts w:hint="eastAsia" w:eastAsia="仿宋_GB2312"/>
          <w:sz w:val="32"/>
          <w:szCs w:val="32"/>
        </w:rPr>
        <w:t>20、</w:t>
      </w:r>
      <w:r>
        <w:rPr>
          <w:rFonts w:eastAsia="仿宋_GB2312"/>
          <w:sz w:val="32"/>
          <w:szCs w:val="32"/>
        </w:rPr>
        <w:t>农林水（类）</w:t>
      </w:r>
      <w:r>
        <w:rPr>
          <w:rFonts w:hint="eastAsia" w:eastAsia="仿宋_GB2312"/>
          <w:sz w:val="32"/>
          <w:szCs w:val="32"/>
        </w:rPr>
        <w:t>巩固脱贫衔接乡村振兴</w:t>
      </w:r>
      <w:r>
        <w:rPr>
          <w:rFonts w:eastAsia="仿宋_GB2312"/>
          <w:sz w:val="32"/>
          <w:szCs w:val="32"/>
        </w:rPr>
        <w:t>（款）</w:t>
      </w:r>
      <w:r>
        <w:rPr>
          <w:rFonts w:hint="eastAsia" w:eastAsia="仿宋_GB2312"/>
          <w:sz w:val="32"/>
          <w:szCs w:val="32"/>
        </w:rPr>
        <w:t>行政运行</w:t>
      </w:r>
      <w:r>
        <w:rPr>
          <w:rFonts w:eastAsia="仿宋_GB2312"/>
          <w:sz w:val="32"/>
          <w:szCs w:val="32"/>
        </w:rPr>
        <w:t>（项）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rPr>
        <w:t>6.88</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hint="eastAsia" w:eastAsia="仿宋_GB2312"/>
          <w:sz w:val="32"/>
          <w:szCs w:val="32"/>
          <w:highlight w:val="none"/>
          <w:lang w:eastAsia="zh-CN"/>
        </w:rPr>
      </w:pPr>
      <w:r>
        <w:rPr>
          <w:rFonts w:hint="eastAsia" w:eastAsia="仿宋_GB2312"/>
          <w:sz w:val="32"/>
          <w:szCs w:val="32"/>
        </w:rPr>
        <w:t>21、</w:t>
      </w:r>
      <w:r>
        <w:rPr>
          <w:rFonts w:eastAsia="仿宋_GB2312"/>
          <w:sz w:val="32"/>
          <w:szCs w:val="32"/>
        </w:rPr>
        <w:t>农林水（类）</w:t>
      </w:r>
      <w:r>
        <w:rPr>
          <w:rFonts w:hint="eastAsia" w:eastAsia="仿宋_GB2312"/>
          <w:sz w:val="32"/>
          <w:szCs w:val="32"/>
        </w:rPr>
        <w:t>巩固脱贫衔接乡村振兴</w:t>
      </w:r>
      <w:r>
        <w:rPr>
          <w:rFonts w:eastAsia="仿宋_GB2312"/>
          <w:sz w:val="32"/>
          <w:szCs w:val="32"/>
        </w:rPr>
        <w:t>（款）</w:t>
      </w:r>
      <w:r>
        <w:rPr>
          <w:rFonts w:hint="eastAsia" w:eastAsia="仿宋_GB2312"/>
          <w:sz w:val="32"/>
          <w:szCs w:val="32"/>
        </w:rPr>
        <w:t>其他巩固脱贫衔接乡村振兴支出</w:t>
      </w:r>
      <w:r>
        <w:rPr>
          <w:rFonts w:eastAsia="仿宋_GB2312"/>
          <w:sz w:val="32"/>
          <w:szCs w:val="32"/>
        </w:rPr>
        <w:t>（项）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rPr>
        <w:t>145.53</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hint="eastAsia" w:eastAsia="仿宋_GB2312"/>
          <w:sz w:val="32"/>
          <w:szCs w:val="32"/>
          <w:highlight w:val="none"/>
          <w:lang w:eastAsia="zh-CN"/>
        </w:rPr>
      </w:pPr>
      <w:r>
        <w:rPr>
          <w:rFonts w:hint="eastAsia" w:eastAsia="仿宋_GB2312"/>
          <w:sz w:val="32"/>
          <w:szCs w:val="32"/>
        </w:rPr>
        <w:t>22、</w:t>
      </w:r>
      <w:r>
        <w:rPr>
          <w:rFonts w:eastAsia="仿宋_GB2312"/>
          <w:sz w:val="32"/>
          <w:szCs w:val="32"/>
        </w:rPr>
        <w:t>农林水（类）农村综合改革（款）对村民委员会和村党支部的补助（项）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rPr>
        <w:t>602.64</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hint="eastAsia" w:eastAsia="仿宋_GB2312"/>
          <w:sz w:val="32"/>
          <w:szCs w:val="32"/>
          <w:highlight w:val="none"/>
          <w:lang w:eastAsia="zh-CN"/>
        </w:rPr>
      </w:pPr>
      <w:r>
        <w:rPr>
          <w:rFonts w:hint="eastAsia" w:eastAsia="仿宋_GB2312"/>
          <w:sz w:val="32"/>
          <w:szCs w:val="32"/>
        </w:rPr>
        <w:t>23、</w:t>
      </w:r>
      <w:r>
        <w:rPr>
          <w:rFonts w:eastAsia="仿宋_GB2312"/>
          <w:sz w:val="32"/>
          <w:szCs w:val="32"/>
        </w:rPr>
        <w:t>住房保障（类）住房改革支出（款）住房公积金（项）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rPr>
        <w:t>42.35</w:t>
      </w:r>
      <w:r>
        <w:rPr>
          <w:rFonts w:eastAsia="仿宋_GB2312"/>
          <w:sz w:val="32"/>
          <w:szCs w:val="32"/>
        </w:rPr>
        <w:t>万元，</w:t>
      </w:r>
      <w:r>
        <w:rPr>
          <w:rFonts w:hint="eastAsia" w:eastAsia="仿宋_GB2312"/>
          <w:sz w:val="32"/>
          <w:szCs w:val="32"/>
          <w:highlight w:val="none"/>
          <w:lang w:eastAsia="zh-CN"/>
        </w:rPr>
        <w:t>完成预算100%，决算数等于预算数。</w:t>
      </w:r>
    </w:p>
    <w:p>
      <w:pPr>
        <w:snapToGrid w:val="0"/>
        <w:spacing w:line="576" w:lineRule="exact"/>
        <w:ind w:firstLine="640" w:firstLineChars="200"/>
        <w:rPr>
          <w:rFonts w:hint="eastAsia" w:eastAsia="仿宋_GB2312"/>
          <w:sz w:val="32"/>
          <w:szCs w:val="32"/>
          <w:lang w:eastAsia="zh-CN"/>
        </w:rPr>
      </w:pPr>
      <w:r>
        <w:rPr>
          <w:rFonts w:hint="eastAsia" w:eastAsia="仿宋_GB2312"/>
          <w:sz w:val="32"/>
          <w:szCs w:val="32"/>
        </w:rPr>
        <w:t>2</w:t>
      </w:r>
      <w:r>
        <w:rPr>
          <w:rFonts w:hint="eastAsia" w:eastAsia="仿宋_GB2312"/>
          <w:sz w:val="32"/>
          <w:szCs w:val="32"/>
          <w:lang w:val="en-US" w:eastAsia="zh-CN"/>
        </w:rPr>
        <w:t>4</w:t>
      </w:r>
      <w:r>
        <w:rPr>
          <w:rFonts w:hint="eastAsia" w:eastAsia="仿宋_GB2312"/>
          <w:sz w:val="32"/>
          <w:szCs w:val="32"/>
        </w:rPr>
        <w:t>、灾害防治及应急管理支出</w:t>
      </w:r>
      <w:r>
        <w:rPr>
          <w:rFonts w:eastAsia="仿宋_GB2312"/>
          <w:sz w:val="32"/>
          <w:szCs w:val="32"/>
        </w:rPr>
        <w:t>（类）</w:t>
      </w:r>
      <w:r>
        <w:rPr>
          <w:rFonts w:hint="eastAsia" w:eastAsia="仿宋_GB2312"/>
          <w:sz w:val="32"/>
          <w:szCs w:val="32"/>
        </w:rPr>
        <w:t>自然灾害救灾及恢复重建支出</w:t>
      </w:r>
      <w:r>
        <w:rPr>
          <w:rFonts w:eastAsia="仿宋_GB2312"/>
          <w:sz w:val="32"/>
          <w:szCs w:val="32"/>
        </w:rPr>
        <w:t>（款）</w:t>
      </w:r>
      <w:r>
        <w:rPr>
          <w:rFonts w:hint="eastAsia" w:eastAsia="仿宋_GB2312"/>
          <w:sz w:val="32"/>
          <w:szCs w:val="32"/>
        </w:rPr>
        <w:t xml:space="preserve"> 其他自然灾害救灾及恢复重建支出</w:t>
      </w:r>
      <w:r>
        <w:rPr>
          <w:rFonts w:eastAsia="仿宋_GB2312"/>
          <w:sz w:val="32"/>
          <w:szCs w:val="32"/>
        </w:rPr>
        <w:t>（项）</w:t>
      </w:r>
      <w:r>
        <w:rPr>
          <w:rFonts w:hint="eastAsia" w:eastAsia="仿宋_GB2312"/>
          <w:sz w:val="32"/>
          <w:szCs w:val="32"/>
          <w:lang w:eastAsia="zh-CN"/>
        </w:rPr>
        <w:t>：支出</w:t>
      </w:r>
      <w:r>
        <w:rPr>
          <w:rFonts w:eastAsia="仿宋_GB2312"/>
          <w:sz w:val="32"/>
          <w:szCs w:val="32"/>
        </w:rPr>
        <w:t>决算数为</w:t>
      </w:r>
      <w:r>
        <w:rPr>
          <w:rFonts w:hint="eastAsia" w:eastAsia="仿宋_GB2312"/>
          <w:sz w:val="32"/>
          <w:szCs w:val="32"/>
          <w:lang w:val="en-US" w:eastAsia="zh-CN"/>
        </w:rPr>
        <w:t>12</w:t>
      </w:r>
      <w:r>
        <w:rPr>
          <w:rFonts w:eastAsia="仿宋_GB2312"/>
          <w:sz w:val="32"/>
          <w:szCs w:val="32"/>
        </w:rPr>
        <w:t>万元，</w:t>
      </w:r>
      <w:r>
        <w:rPr>
          <w:rFonts w:hint="eastAsia" w:eastAsia="仿宋_GB2312"/>
          <w:sz w:val="32"/>
          <w:szCs w:val="32"/>
          <w:highlight w:val="none"/>
          <w:lang w:eastAsia="zh-CN"/>
        </w:rPr>
        <w:t>完成预算100%，决算数等于预算数。</w:t>
      </w:r>
    </w:p>
    <w:p>
      <w:pPr>
        <w:pStyle w:val="22"/>
      </w:pPr>
    </w:p>
    <w:p>
      <w:pPr>
        <w:pStyle w:val="4"/>
        <w:snapToGrid w:val="0"/>
        <w:spacing w:before="0" w:after="0" w:line="576" w:lineRule="exact"/>
        <w:ind w:firstLine="640" w:firstLineChars="200"/>
        <w:rPr>
          <w:rFonts w:ascii="黑体" w:hAnsi="黑体" w:eastAsia="黑体" w:cs="黑体"/>
          <w:b w:val="0"/>
          <w:highlight w:val="none"/>
        </w:rPr>
      </w:pPr>
      <w:bookmarkStart w:id="48" w:name="_Toc15377214"/>
      <w:bookmarkStart w:id="49" w:name="_Toc3138"/>
      <w:bookmarkStart w:id="50" w:name="_Toc15396608"/>
      <w:r>
        <w:rPr>
          <w:rFonts w:ascii="黑体" w:hAnsi="黑体" w:eastAsia="黑体" w:cs="黑体"/>
          <w:b w:val="0"/>
          <w:highlight w:val="none"/>
        </w:rPr>
        <w:t>六、一般公共</w:t>
      </w:r>
      <w:r>
        <w:rPr>
          <w:rFonts w:hint="eastAsia" w:ascii="黑体" w:hAnsi="黑体" w:eastAsia="黑体" w:cs="黑体"/>
          <w:b w:val="0"/>
          <w:highlight w:val="none"/>
          <w:lang w:eastAsia="zh-CN"/>
        </w:rPr>
        <w:t>预算</w:t>
      </w:r>
      <w:r>
        <w:rPr>
          <w:rFonts w:ascii="黑体" w:hAnsi="黑体" w:eastAsia="黑体" w:cs="黑体"/>
          <w:b w:val="0"/>
          <w:highlight w:val="none"/>
        </w:rPr>
        <w:t>财政拨款基本支出决算情况说明</w:t>
      </w:r>
      <w:bookmarkEnd w:id="48"/>
      <w:bookmarkEnd w:id="49"/>
      <w:bookmarkEnd w:id="50"/>
      <w:r>
        <w:rPr>
          <w:rFonts w:ascii="黑体" w:hAnsi="黑体" w:eastAsia="黑体" w:cs="黑体"/>
          <w:b w:val="0"/>
          <w:highlight w:val="none"/>
        </w:rPr>
        <w:tab/>
      </w:r>
    </w:p>
    <w:p>
      <w:pPr>
        <w:snapToGrid w:val="0"/>
        <w:spacing w:line="576" w:lineRule="exact"/>
        <w:ind w:firstLine="640" w:firstLineChars="200"/>
        <w:rPr>
          <w:rFonts w:eastAsia="仿宋_GB2312"/>
          <w:sz w:val="32"/>
          <w:szCs w:val="32"/>
          <w:highlight w:val="none"/>
        </w:rPr>
      </w:pPr>
      <w:r>
        <w:rPr>
          <w:rFonts w:eastAsia="仿宋_GB2312"/>
          <w:sz w:val="32"/>
          <w:szCs w:val="32"/>
          <w:highlight w:val="none"/>
        </w:rPr>
        <w:t>202</w:t>
      </w:r>
      <w:r>
        <w:rPr>
          <w:rFonts w:hint="eastAsia" w:eastAsia="仿宋_GB2312"/>
          <w:sz w:val="32"/>
          <w:szCs w:val="32"/>
          <w:highlight w:val="none"/>
          <w:lang w:val="en-US" w:eastAsia="zh-CN"/>
        </w:rPr>
        <w:t>2</w:t>
      </w:r>
      <w:r>
        <w:rPr>
          <w:rFonts w:eastAsia="仿宋_GB2312"/>
          <w:sz w:val="32"/>
          <w:szCs w:val="32"/>
          <w:highlight w:val="none"/>
        </w:rPr>
        <w:t>年一般公共</w:t>
      </w:r>
      <w:r>
        <w:rPr>
          <w:rFonts w:hint="eastAsia" w:eastAsia="仿宋_GB2312"/>
          <w:sz w:val="32"/>
          <w:szCs w:val="32"/>
          <w:highlight w:val="none"/>
          <w:lang w:eastAsia="zh-CN"/>
        </w:rPr>
        <w:t>预算</w:t>
      </w:r>
      <w:r>
        <w:rPr>
          <w:rFonts w:eastAsia="仿宋_GB2312"/>
          <w:sz w:val="32"/>
          <w:szCs w:val="32"/>
          <w:highlight w:val="none"/>
        </w:rPr>
        <w:t>财政拨款基本支出</w:t>
      </w:r>
      <w:r>
        <w:rPr>
          <w:rFonts w:hint="eastAsia" w:eastAsia="仿宋_GB2312"/>
          <w:sz w:val="32"/>
          <w:szCs w:val="32"/>
          <w:highlight w:val="none"/>
          <w:lang w:val="en-US" w:eastAsia="zh-CN"/>
        </w:rPr>
        <w:t>1283.27</w:t>
      </w:r>
      <w:r>
        <w:rPr>
          <w:rFonts w:eastAsia="仿宋_GB2312"/>
          <w:sz w:val="32"/>
          <w:szCs w:val="32"/>
          <w:highlight w:val="none"/>
        </w:rPr>
        <w:t>万元，其中：人员经费</w:t>
      </w:r>
      <w:r>
        <w:rPr>
          <w:rFonts w:hint="eastAsia" w:eastAsia="仿宋_GB2312"/>
          <w:sz w:val="32"/>
          <w:szCs w:val="32"/>
          <w:highlight w:val="none"/>
          <w:lang w:val="en-US" w:eastAsia="zh-CN"/>
        </w:rPr>
        <w:t>1174.1</w:t>
      </w:r>
      <w:r>
        <w:rPr>
          <w:rFonts w:eastAsia="仿宋_GB2312"/>
          <w:sz w:val="32"/>
          <w:szCs w:val="32"/>
          <w:highlight w:val="none"/>
        </w:rPr>
        <w:t>万元，主要包括：基本工资、津贴补贴、奖金、绩效工资、机关事业单位基本养老保险缴费、职业年金缴费、其他社会保障缴费、其他工资福利支出、离休费、退休费、抚恤金、生活补助、医疗费补助、奖励金、住房公积金、其他对个人和家庭的补助支出等。</w:t>
      </w:r>
    </w:p>
    <w:p>
      <w:pPr>
        <w:snapToGrid w:val="0"/>
        <w:spacing w:line="576" w:lineRule="exact"/>
        <w:ind w:firstLine="640" w:firstLineChars="200"/>
        <w:rPr>
          <w:rFonts w:eastAsia="仿宋_GB2312"/>
          <w:sz w:val="32"/>
          <w:szCs w:val="32"/>
        </w:rPr>
      </w:pPr>
      <w:r>
        <w:rPr>
          <w:rFonts w:eastAsia="仿宋_GB2312"/>
          <w:sz w:val="32"/>
          <w:szCs w:val="32"/>
        </w:rPr>
        <w:t>公用经费</w:t>
      </w:r>
      <w:r>
        <w:rPr>
          <w:rFonts w:hint="eastAsia" w:eastAsia="仿宋_GB2312"/>
          <w:sz w:val="32"/>
          <w:szCs w:val="32"/>
          <w:lang w:val="en-US" w:eastAsia="zh-CN"/>
        </w:rPr>
        <w:t>109.17</w:t>
      </w:r>
      <w:r>
        <w:rPr>
          <w:rFonts w:eastAsia="仿宋_GB2312"/>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4"/>
        <w:snapToGrid w:val="0"/>
        <w:spacing w:before="0" w:after="0" w:line="576" w:lineRule="exact"/>
        <w:ind w:firstLine="640" w:firstLineChars="200"/>
        <w:rPr>
          <w:rFonts w:ascii="黑体" w:hAnsi="黑体" w:eastAsia="黑体" w:cs="黑体"/>
          <w:b w:val="0"/>
        </w:rPr>
      </w:pPr>
      <w:bookmarkStart w:id="51" w:name="_Toc24779"/>
      <w:bookmarkStart w:id="52" w:name="_Toc15377215"/>
      <w:bookmarkStart w:id="53" w:name="_Toc15396609"/>
      <w:r>
        <w:rPr>
          <w:rFonts w:ascii="黑体" w:hAnsi="黑体" w:eastAsia="黑体" w:cs="黑体"/>
          <w:b w:val="0"/>
          <w:highlight w:val="none"/>
        </w:rPr>
        <w:t>七、</w:t>
      </w:r>
      <w:r>
        <w:rPr>
          <w:rFonts w:ascii="黑体" w:hAnsi="黑体" w:eastAsia="黑体" w:cs="黑体"/>
          <w:b w:val="0"/>
        </w:rPr>
        <w:t>财政拨款</w:t>
      </w:r>
      <w:r>
        <w:rPr>
          <w:rFonts w:ascii="黑体" w:hAnsi="黑体" w:eastAsia="黑体" w:cs="黑体"/>
          <w:b w:val="0"/>
          <w:highlight w:val="none"/>
        </w:rPr>
        <w:t>“三公”</w:t>
      </w:r>
      <w:r>
        <w:rPr>
          <w:rFonts w:ascii="黑体" w:hAnsi="黑体" w:eastAsia="黑体" w:cs="黑体"/>
          <w:b w:val="0"/>
        </w:rPr>
        <w:t>经费支出决算情况说明</w:t>
      </w:r>
      <w:bookmarkEnd w:id="51"/>
      <w:bookmarkEnd w:id="52"/>
      <w:bookmarkEnd w:id="53"/>
    </w:p>
    <w:p>
      <w:pPr>
        <w:snapToGrid w:val="0"/>
        <w:spacing w:line="576" w:lineRule="exact"/>
        <w:ind w:firstLine="642" w:firstLineChars="200"/>
        <w:outlineLvl w:val="2"/>
        <w:rPr>
          <w:rFonts w:eastAsia="仿宋_GB2312"/>
          <w:b/>
          <w:sz w:val="32"/>
          <w:szCs w:val="32"/>
        </w:rPr>
      </w:pPr>
      <w:bookmarkStart w:id="54" w:name="_Toc15377216"/>
      <w:r>
        <w:rPr>
          <w:rFonts w:eastAsia="仿宋_GB2312"/>
          <w:b/>
          <w:sz w:val="32"/>
          <w:szCs w:val="32"/>
        </w:rPr>
        <w:t>（一）“三公”经费</w:t>
      </w:r>
      <w:r>
        <w:rPr>
          <w:rFonts w:hint="eastAsia" w:eastAsia="仿宋_GB2312"/>
          <w:b/>
          <w:sz w:val="32"/>
          <w:szCs w:val="32"/>
          <w:lang w:eastAsia="zh-CN"/>
        </w:rPr>
        <w:t>财政拨款</w:t>
      </w:r>
      <w:r>
        <w:rPr>
          <w:rFonts w:eastAsia="仿宋_GB2312"/>
          <w:b/>
          <w:sz w:val="32"/>
          <w:szCs w:val="32"/>
        </w:rPr>
        <w:t>支出决算总体情况说明</w:t>
      </w:r>
      <w:bookmarkEnd w:id="54"/>
    </w:p>
    <w:p>
      <w:pPr>
        <w:widowControl/>
        <w:shd w:val="clear" w:color="auto" w:fill="FFFFFF"/>
        <w:snapToGrid w:val="0"/>
        <w:spacing w:line="576" w:lineRule="exact"/>
        <w:ind w:firstLine="640" w:firstLineChars="200"/>
        <w:rPr>
          <w:rFonts w:hint="eastAsia" w:eastAsia="仿宋_GB2312"/>
          <w:sz w:val="32"/>
          <w:szCs w:val="32"/>
          <w:lang w:eastAsia="zh-CN"/>
        </w:rPr>
      </w:pPr>
      <w:r>
        <w:rPr>
          <w:rFonts w:eastAsia="仿宋_GB2312"/>
          <w:sz w:val="32"/>
          <w:szCs w:val="32"/>
        </w:rPr>
        <w:t>202</w:t>
      </w:r>
      <w:r>
        <w:rPr>
          <w:rFonts w:hint="eastAsia" w:eastAsia="仿宋_GB2312"/>
          <w:sz w:val="32"/>
          <w:szCs w:val="32"/>
          <w:lang w:val="en-US" w:eastAsia="zh-CN"/>
        </w:rPr>
        <w:t>2</w:t>
      </w:r>
      <w:r>
        <w:rPr>
          <w:rFonts w:eastAsia="仿宋_GB2312"/>
          <w:sz w:val="32"/>
          <w:szCs w:val="32"/>
        </w:rPr>
        <w:t>“三公”经费年财政拨款支出决算为</w:t>
      </w:r>
      <w:r>
        <w:rPr>
          <w:rFonts w:hint="eastAsia" w:eastAsia="仿宋_GB2312"/>
          <w:sz w:val="32"/>
          <w:szCs w:val="32"/>
        </w:rPr>
        <w:t>23.60</w:t>
      </w:r>
      <w:r>
        <w:rPr>
          <w:rFonts w:eastAsia="仿宋_GB2312"/>
          <w:sz w:val="32"/>
          <w:szCs w:val="32"/>
        </w:rPr>
        <w:t>万元，完成预算100%，决算数</w:t>
      </w:r>
      <w:r>
        <w:rPr>
          <w:rFonts w:hint="eastAsia" w:eastAsia="仿宋_GB2312"/>
          <w:sz w:val="32"/>
          <w:szCs w:val="32"/>
          <w:lang w:eastAsia="zh-CN"/>
        </w:rPr>
        <w:t>与</w:t>
      </w:r>
      <w:r>
        <w:rPr>
          <w:rFonts w:hint="eastAsia" w:eastAsia="仿宋_GB2312"/>
          <w:sz w:val="32"/>
          <w:szCs w:val="32"/>
        </w:rPr>
        <w:t>202</w:t>
      </w:r>
      <w:r>
        <w:rPr>
          <w:rFonts w:hint="eastAsia" w:eastAsia="仿宋_GB2312"/>
          <w:sz w:val="32"/>
          <w:szCs w:val="32"/>
          <w:lang w:val="en-US" w:eastAsia="zh-CN"/>
        </w:rPr>
        <w:t>1</w:t>
      </w:r>
      <w:r>
        <w:rPr>
          <w:rFonts w:hint="eastAsia" w:eastAsia="仿宋_GB2312"/>
          <w:sz w:val="32"/>
          <w:szCs w:val="32"/>
        </w:rPr>
        <w:t>年</w:t>
      </w:r>
      <w:r>
        <w:rPr>
          <w:rFonts w:hint="eastAsia" w:eastAsia="仿宋_GB2312"/>
          <w:sz w:val="32"/>
          <w:szCs w:val="32"/>
          <w:lang w:eastAsia="zh-CN"/>
        </w:rPr>
        <w:t>持平</w:t>
      </w:r>
      <w:r>
        <w:rPr>
          <w:rFonts w:eastAsia="仿宋_GB2312"/>
          <w:sz w:val="32"/>
          <w:szCs w:val="32"/>
        </w:rPr>
        <w:t>。</w:t>
      </w:r>
      <w:r>
        <w:rPr>
          <w:rFonts w:hint="eastAsia" w:eastAsia="仿宋_GB2312"/>
          <w:sz w:val="32"/>
          <w:szCs w:val="32"/>
          <w:lang w:eastAsia="zh-CN"/>
        </w:rPr>
        <w:t>决算数与预算数持平的主要原因是</w:t>
      </w:r>
      <w:r>
        <w:rPr>
          <w:rFonts w:hint="eastAsia" w:eastAsia="仿宋_GB2312"/>
          <w:sz w:val="32"/>
          <w:szCs w:val="32"/>
          <w:highlight w:val="none"/>
          <w:lang w:eastAsia="zh-CN"/>
        </w:rPr>
        <w:t>2022年本单位未在政府性基金预算拨款安排“三公经费”支出。</w:t>
      </w:r>
    </w:p>
    <w:p>
      <w:pPr>
        <w:numPr>
          <w:ilvl w:val="0"/>
          <w:numId w:val="1"/>
        </w:numPr>
        <w:snapToGrid w:val="0"/>
        <w:spacing w:line="576" w:lineRule="exact"/>
        <w:ind w:firstLine="642" w:firstLineChars="200"/>
        <w:outlineLvl w:val="2"/>
        <w:rPr>
          <w:rFonts w:eastAsia="仿宋_GB2312"/>
          <w:b/>
          <w:sz w:val="32"/>
          <w:szCs w:val="32"/>
        </w:rPr>
      </w:pPr>
      <w:bookmarkStart w:id="55" w:name="_Toc15377217"/>
      <w:r>
        <w:rPr>
          <w:rFonts w:eastAsia="仿宋_GB2312"/>
          <w:b/>
          <w:sz w:val="32"/>
          <w:szCs w:val="32"/>
        </w:rPr>
        <w:t>“三公”经费财政拨款支出决算具体情况说明</w:t>
      </w:r>
      <w:bookmarkEnd w:id="55"/>
    </w:p>
    <w:p>
      <w:pPr>
        <w:pStyle w:val="2"/>
        <w:numPr>
          <w:ilvl w:val="0"/>
          <w:numId w:val="0"/>
        </w:numPr>
        <w:ind w:firstLine="640" w:firstLineChars="200"/>
      </w:pPr>
      <w:r>
        <w:rPr>
          <w:rFonts w:eastAsia="仿宋_GB2312"/>
          <w:sz w:val="32"/>
          <w:szCs w:val="32"/>
        </w:rPr>
        <w:t>202</w:t>
      </w:r>
      <w:r>
        <w:rPr>
          <w:rFonts w:hint="eastAsia" w:eastAsia="仿宋_GB2312"/>
          <w:sz w:val="32"/>
          <w:szCs w:val="32"/>
          <w:lang w:val="en-US" w:eastAsia="zh-CN"/>
        </w:rPr>
        <w:t>2</w:t>
      </w:r>
      <w:r>
        <w:rPr>
          <w:rFonts w:eastAsia="仿宋_GB2312"/>
          <w:sz w:val="32"/>
          <w:szCs w:val="32"/>
        </w:rPr>
        <w:t>年“三公”经费财政拨款支出决算中，因公出国（境）费支出决算0万元，占0%；公务用车购置及运行维护费支出决算0万元，占0%；公务接待费支出决算</w:t>
      </w:r>
      <w:r>
        <w:rPr>
          <w:rFonts w:hint="eastAsia" w:eastAsia="仿宋_GB2312"/>
          <w:sz w:val="32"/>
          <w:szCs w:val="32"/>
        </w:rPr>
        <w:t>23.60</w:t>
      </w:r>
      <w:r>
        <w:rPr>
          <w:rFonts w:eastAsia="仿宋_GB2312"/>
          <w:sz w:val="32"/>
          <w:szCs w:val="32"/>
        </w:rPr>
        <w:t>万元，占100%.具体情况如下：</w:t>
      </w:r>
    </w:p>
    <w:p>
      <w:pPr>
        <w:snapToGrid w:val="0"/>
        <w:spacing w:line="576" w:lineRule="exact"/>
        <w:ind w:firstLine="640" w:firstLineChars="200"/>
        <w:rPr>
          <w:rFonts w:eastAsia="仿宋_GB2312"/>
          <w:sz w:val="32"/>
          <w:szCs w:val="32"/>
        </w:rPr>
      </w:pPr>
      <w:r>
        <w:rPr>
          <w:rFonts w:ascii="仿宋" w:hAnsi="仿宋" w:eastAsia="仿宋"/>
          <w:color w:val="000000"/>
          <w:sz w:val="32"/>
          <w:szCs w:val="32"/>
          <w:shd w:val="pct10" w:color="auto" w:fill="FFFFFF"/>
        </w:rPr>
        <w:pict>
          <v:shape id="_x0000_s1036" o:spid="_x0000_s1036" o:spt="75" type="#_x0000_t75" style="position:absolute;left:0pt;margin-left:19.6pt;margin-top:10.45pt;height:170.3pt;width:396.9pt;mso-wrap-distance-bottom:0pt;mso-wrap-distance-top:0pt;z-index:251663360;mso-width-relative:page;mso-height-relative:page;" o:ole="t" filled="f" o:preferrelative="t" stroked="f" coordsize="21600,21600">
            <v:path/>
            <v:fill on="f" focussize="0,0"/>
            <v:stroke on="f" joinstyle="miter"/>
            <v:imagedata r:id="rId18" o:title=""/>
            <o:lock v:ext="edit" aspectratio="t"/>
            <w10:wrap type="topAndBottom"/>
          </v:shape>
          <o:OLEObject Type="Embed" ProgID="Excel.Chart.8" ShapeID="_x0000_s1036" DrawAspect="Content" ObjectID="_1468075731" r:id="rId17">
            <o:LockedField>false</o:LockedField>
          </o:OLEObject>
        </w:pict>
      </w:r>
    </w:p>
    <w:p>
      <w:pPr>
        <w:snapToGrid w:val="0"/>
        <w:spacing w:line="576" w:lineRule="exact"/>
        <w:ind w:firstLine="640" w:firstLineChars="200"/>
        <w:rPr>
          <w:rFonts w:eastAsia="仿宋_GB2312"/>
          <w:sz w:val="32"/>
          <w:szCs w:val="32"/>
        </w:rPr>
      </w:pPr>
      <w:r>
        <w:rPr>
          <w:rFonts w:eastAsia="仿宋_GB2312"/>
          <w:sz w:val="32"/>
          <w:szCs w:val="32"/>
        </w:rPr>
        <w:t>（图7：财政拨款“三公”经费支出结构）（饼状图）</w:t>
      </w:r>
    </w:p>
    <w:p>
      <w:pPr>
        <w:snapToGrid w:val="0"/>
        <w:spacing w:line="576" w:lineRule="exact"/>
        <w:ind w:firstLine="642" w:firstLineChars="200"/>
        <w:rPr>
          <w:rFonts w:eastAsia="仿宋_GB2312"/>
          <w:sz w:val="32"/>
          <w:szCs w:val="32"/>
        </w:rPr>
      </w:pPr>
      <w:r>
        <w:rPr>
          <w:rFonts w:eastAsia="仿宋_GB2312"/>
          <w:b/>
          <w:sz w:val="32"/>
          <w:szCs w:val="32"/>
        </w:rPr>
        <w:t>1.因公出国（境）经费支出</w:t>
      </w:r>
      <w:r>
        <w:rPr>
          <w:rFonts w:eastAsia="仿宋_GB2312"/>
          <w:sz w:val="32"/>
          <w:szCs w:val="32"/>
        </w:rPr>
        <w:t>0万元</w:t>
      </w:r>
      <w:r>
        <w:rPr>
          <w:rFonts w:hint="eastAsia" w:eastAsia="仿宋_GB2312"/>
          <w:sz w:val="32"/>
          <w:szCs w:val="32"/>
          <w:lang w:eastAsia="zh-CN"/>
        </w:rPr>
        <w:t>。</w:t>
      </w:r>
      <w:bookmarkStart w:id="98" w:name="_GoBack"/>
      <w:bookmarkEnd w:id="98"/>
      <w:r>
        <w:rPr>
          <w:rFonts w:eastAsia="仿宋_GB2312"/>
          <w:sz w:val="32"/>
          <w:szCs w:val="32"/>
        </w:rPr>
        <w:t>全年安排因公出国（境）团组0次，出国（境）0人</w:t>
      </w:r>
      <w:r>
        <w:rPr>
          <w:rFonts w:hint="eastAsia" w:eastAsia="仿宋_GB2312"/>
          <w:sz w:val="32"/>
          <w:szCs w:val="32"/>
          <w:lang w:eastAsia="zh-CN"/>
        </w:rPr>
        <w:t>，</w:t>
      </w:r>
      <w:r>
        <w:rPr>
          <w:rFonts w:eastAsia="仿宋_GB2312"/>
          <w:sz w:val="32"/>
          <w:szCs w:val="32"/>
        </w:rPr>
        <w:t>因公出国（境）支出决算较2021年</w:t>
      </w:r>
      <w:r>
        <w:rPr>
          <w:rFonts w:hint="eastAsia" w:eastAsia="仿宋_GB2312"/>
          <w:sz w:val="32"/>
          <w:szCs w:val="32"/>
          <w:lang w:eastAsia="zh-CN"/>
        </w:rPr>
        <w:t>持平，主要原因是全年未安排因公出国（境）</w:t>
      </w:r>
      <w:r>
        <w:rPr>
          <w:rFonts w:eastAsia="仿宋_GB2312"/>
          <w:sz w:val="32"/>
          <w:szCs w:val="32"/>
        </w:rPr>
        <w:t>。</w:t>
      </w:r>
    </w:p>
    <w:p>
      <w:pPr>
        <w:snapToGrid w:val="0"/>
        <w:spacing w:line="576" w:lineRule="exact"/>
        <w:ind w:firstLine="642" w:firstLineChars="200"/>
        <w:rPr>
          <w:rFonts w:eastAsia="仿宋_GB2312"/>
          <w:sz w:val="32"/>
          <w:szCs w:val="32"/>
        </w:rPr>
      </w:pPr>
      <w:r>
        <w:rPr>
          <w:rFonts w:eastAsia="仿宋_GB2312"/>
          <w:b/>
          <w:sz w:val="32"/>
          <w:szCs w:val="32"/>
        </w:rPr>
        <w:t>2.公务用车购置及运行维护费支出</w:t>
      </w:r>
      <w:r>
        <w:rPr>
          <w:rFonts w:eastAsia="仿宋_GB2312"/>
          <w:sz w:val="32"/>
          <w:szCs w:val="32"/>
        </w:rPr>
        <w:t>0万元</w:t>
      </w:r>
      <w:r>
        <w:rPr>
          <w:rFonts w:hint="eastAsia" w:eastAsia="仿宋_GB2312"/>
          <w:sz w:val="32"/>
          <w:szCs w:val="32"/>
        </w:rPr>
        <w:t>，</w:t>
      </w:r>
      <w:r>
        <w:rPr>
          <w:rFonts w:eastAsia="仿宋_GB2312"/>
          <w:sz w:val="32"/>
          <w:szCs w:val="32"/>
        </w:rPr>
        <w:t>年初未安排预算且无公务用车编制</w:t>
      </w:r>
      <w:r>
        <w:rPr>
          <w:rFonts w:eastAsia="仿宋_GB2312"/>
        </w:rPr>
        <w:t>。</w:t>
      </w:r>
    </w:p>
    <w:p>
      <w:pPr>
        <w:snapToGrid w:val="0"/>
        <w:spacing w:line="576" w:lineRule="exact"/>
        <w:ind w:firstLine="640" w:firstLineChars="20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0万元。</w:t>
      </w:r>
    </w:p>
    <w:p>
      <w:pPr>
        <w:snapToGrid w:val="0"/>
        <w:spacing w:line="576" w:lineRule="exact"/>
        <w:ind w:firstLine="642" w:firstLineChars="200"/>
        <w:rPr>
          <w:rFonts w:eastAsia="仿宋_GB2312"/>
          <w:sz w:val="32"/>
          <w:szCs w:val="32"/>
        </w:rPr>
      </w:pPr>
      <w:r>
        <w:rPr>
          <w:rFonts w:eastAsia="仿宋_GB2312"/>
          <w:b/>
          <w:sz w:val="32"/>
          <w:szCs w:val="32"/>
        </w:rPr>
        <w:t>公务用车运行维护费支出</w:t>
      </w:r>
      <w:r>
        <w:rPr>
          <w:rFonts w:eastAsia="仿宋_GB2312"/>
          <w:sz w:val="32"/>
          <w:szCs w:val="32"/>
        </w:rPr>
        <w:t>0万元。</w:t>
      </w:r>
    </w:p>
    <w:p>
      <w:pPr>
        <w:snapToGrid w:val="0"/>
        <w:spacing w:line="576" w:lineRule="exact"/>
        <w:ind w:firstLine="642" w:firstLineChars="200"/>
        <w:rPr>
          <w:rFonts w:eastAsia="仿宋_GB2312"/>
          <w:color w:val="000000" w:themeColor="text1"/>
          <w:sz w:val="32"/>
          <w:szCs w:val="32"/>
          <w14:textFill>
            <w14:solidFill>
              <w14:schemeClr w14:val="tx1"/>
            </w14:solidFill>
          </w14:textFill>
        </w:rPr>
      </w:pPr>
      <w:r>
        <w:rPr>
          <w:rFonts w:eastAsia="仿宋_GB2312"/>
          <w:b/>
          <w:sz w:val="32"/>
          <w:szCs w:val="32"/>
        </w:rPr>
        <w:t>3.公务接待费支出</w:t>
      </w:r>
      <w:r>
        <w:rPr>
          <w:rFonts w:hint="eastAsia" w:eastAsia="仿宋_GB2312"/>
          <w:sz w:val="32"/>
          <w:szCs w:val="32"/>
        </w:rPr>
        <w:t>23.60</w:t>
      </w:r>
      <w:r>
        <w:rPr>
          <w:rFonts w:eastAsia="仿宋_GB2312"/>
          <w:sz w:val="32"/>
          <w:szCs w:val="32"/>
        </w:rPr>
        <w:t>万元，</w:t>
      </w:r>
      <w:r>
        <w:rPr>
          <w:rStyle w:val="20"/>
          <w:rFonts w:eastAsia="仿宋_GB2312"/>
          <w:b w:val="0"/>
          <w:bCs/>
          <w:sz w:val="32"/>
          <w:szCs w:val="32"/>
        </w:rPr>
        <w:t>完成预算100%。</w:t>
      </w:r>
      <w:r>
        <w:rPr>
          <w:rFonts w:eastAsia="仿宋_GB2312"/>
          <w:sz w:val="32"/>
          <w:szCs w:val="32"/>
        </w:rPr>
        <w:t>公务接待费</w:t>
      </w:r>
      <w:r>
        <w:rPr>
          <w:rFonts w:eastAsia="仿宋_GB2312"/>
          <w:color w:val="000000" w:themeColor="text1"/>
          <w:sz w:val="32"/>
          <w:szCs w:val="32"/>
          <w14:textFill>
            <w14:solidFill>
              <w14:schemeClr w14:val="tx1"/>
            </w14:solidFill>
          </w14:textFill>
        </w:rPr>
        <w:t>支出决算</w:t>
      </w:r>
      <w:r>
        <w:rPr>
          <w:rFonts w:hint="eastAsia" w:eastAsia="仿宋_GB2312"/>
          <w:color w:val="000000" w:themeColor="text1"/>
          <w:sz w:val="32"/>
          <w:szCs w:val="32"/>
          <w:lang w:eastAsia="zh-CN"/>
          <w14:textFill>
            <w14:solidFill>
              <w14:schemeClr w14:val="tx1"/>
            </w14:solidFill>
          </w14:textFill>
        </w:rPr>
        <w:t>与</w:t>
      </w:r>
      <w:r>
        <w:rPr>
          <w:rFonts w:eastAsia="仿宋_GB2312"/>
          <w:color w:val="000000" w:themeColor="text1"/>
          <w:sz w:val="32"/>
          <w:szCs w:val="32"/>
          <w14:textFill>
            <w14:solidFill>
              <w14:schemeClr w14:val="tx1"/>
            </w14:solidFill>
          </w14:textFill>
        </w:rPr>
        <w:t>202</w:t>
      </w:r>
      <w:r>
        <w:rPr>
          <w:rFonts w:hint="eastAsia" w:eastAsia="仿宋_GB2312"/>
          <w:color w:val="000000" w:themeColor="text1"/>
          <w:sz w:val="32"/>
          <w:szCs w:val="32"/>
          <w:lang w:val="en-US" w:eastAsia="zh-CN"/>
          <w14:textFill>
            <w14:solidFill>
              <w14:schemeClr w14:val="tx1"/>
            </w14:solidFill>
          </w14:textFill>
        </w:rPr>
        <w:t>1</w:t>
      </w:r>
      <w:r>
        <w:rPr>
          <w:rFonts w:eastAsia="仿宋_GB2312"/>
          <w:color w:val="000000" w:themeColor="text1"/>
          <w:sz w:val="32"/>
          <w:szCs w:val="32"/>
          <w14:textFill>
            <w14:solidFill>
              <w14:schemeClr w14:val="tx1"/>
            </w14:solidFill>
          </w14:textFill>
        </w:rPr>
        <w:t>年</w:t>
      </w:r>
      <w:r>
        <w:rPr>
          <w:rFonts w:hint="eastAsia" w:eastAsia="仿宋_GB2312"/>
          <w:color w:val="000000" w:themeColor="text1"/>
          <w:sz w:val="32"/>
          <w:szCs w:val="32"/>
          <w:lang w:eastAsia="zh-CN"/>
          <w14:textFill>
            <w14:solidFill>
              <w14:schemeClr w14:val="tx1"/>
            </w14:solidFill>
          </w14:textFill>
        </w:rPr>
        <w:t>持平，主要原因是</w:t>
      </w:r>
      <w:r>
        <w:rPr>
          <w:rFonts w:hint="eastAsia" w:eastAsia="仿宋_GB2312"/>
          <w:sz w:val="32"/>
          <w:szCs w:val="32"/>
          <w:highlight w:val="none"/>
          <w:lang w:eastAsia="zh-CN"/>
        </w:rPr>
        <w:t>2022年本单位未在政府性基金预算拨款安排“三公经费”支出。其中：</w:t>
      </w:r>
    </w:p>
    <w:p>
      <w:pPr>
        <w:widowControl/>
        <w:shd w:val="clear" w:color="auto" w:fill="FFFFFF"/>
        <w:snapToGrid w:val="0"/>
        <w:spacing w:line="576" w:lineRule="exact"/>
        <w:ind w:firstLine="640" w:firstLineChars="200"/>
        <w:rPr>
          <w:rFonts w:eastAsia="仿宋_GB2312"/>
          <w:sz w:val="32"/>
          <w:szCs w:val="32"/>
        </w:rPr>
      </w:pPr>
      <w:r>
        <w:rPr>
          <w:rFonts w:eastAsia="仿宋_GB2312"/>
          <w:sz w:val="32"/>
          <w:szCs w:val="32"/>
        </w:rPr>
        <w:t>国内公务接待支出</w:t>
      </w:r>
      <w:r>
        <w:rPr>
          <w:rFonts w:hint="eastAsia" w:eastAsia="仿宋_GB2312"/>
          <w:sz w:val="32"/>
          <w:szCs w:val="32"/>
        </w:rPr>
        <w:t>23.60</w:t>
      </w:r>
      <w:r>
        <w:rPr>
          <w:rFonts w:eastAsia="仿宋_GB2312"/>
          <w:sz w:val="32"/>
          <w:szCs w:val="32"/>
        </w:rPr>
        <w:t>万元，</w:t>
      </w:r>
      <w:bookmarkStart w:id="56" w:name="_Toc15377218"/>
      <w:bookmarkStart w:id="57" w:name="_Toc15396610"/>
      <w:r>
        <w:rPr>
          <w:rFonts w:eastAsia="仿宋_GB2312"/>
          <w:sz w:val="32"/>
          <w:szCs w:val="32"/>
        </w:rPr>
        <w:t>主要用于执行公务、开展业务活动开支的交通费、住宿费、用餐费等。国内公务接待</w:t>
      </w:r>
      <w:r>
        <w:rPr>
          <w:rFonts w:hint="eastAsia" w:eastAsia="仿宋_GB2312"/>
          <w:sz w:val="32"/>
          <w:szCs w:val="32"/>
        </w:rPr>
        <w:t>4</w:t>
      </w:r>
      <w:r>
        <w:rPr>
          <w:rFonts w:hint="eastAsia" w:eastAsia="仿宋_GB2312"/>
          <w:sz w:val="32"/>
          <w:szCs w:val="32"/>
          <w:lang w:val="en-US" w:eastAsia="zh-CN"/>
        </w:rPr>
        <w:t>28</w:t>
      </w:r>
      <w:r>
        <w:rPr>
          <w:rFonts w:eastAsia="仿宋_GB2312"/>
          <w:sz w:val="32"/>
          <w:szCs w:val="32"/>
        </w:rPr>
        <w:t>批次</w:t>
      </w:r>
      <w:r>
        <w:rPr>
          <w:rFonts w:hint="eastAsia" w:eastAsia="仿宋_GB2312"/>
          <w:sz w:val="32"/>
          <w:szCs w:val="32"/>
        </w:rPr>
        <w:t>4</w:t>
      </w:r>
      <w:r>
        <w:rPr>
          <w:rFonts w:hint="eastAsia" w:eastAsia="仿宋_GB2312"/>
          <w:sz w:val="32"/>
          <w:szCs w:val="32"/>
          <w:lang w:val="en-US" w:eastAsia="zh-CN"/>
        </w:rPr>
        <w:t>2</w:t>
      </w:r>
      <w:r>
        <w:rPr>
          <w:rFonts w:hint="eastAsia" w:eastAsia="仿宋_GB2312"/>
          <w:sz w:val="32"/>
          <w:szCs w:val="32"/>
        </w:rPr>
        <w:t>00</w:t>
      </w:r>
      <w:r>
        <w:rPr>
          <w:rFonts w:hint="eastAsia" w:eastAsia="仿宋_GB2312"/>
          <w:sz w:val="32"/>
          <w:szCs w:val="32"/>
          <w:lang w:eastAsia="zh-CN"/>
        </w:rPr>
        <w:t>余</w:t>
      </w:r>
      <w:r>
        <w:rPr>
          <w:rFonts w:eastAsia="仿宋_GB2312"/>
          <w:sz w:val="32"/>
          <w:szCs w:val="32"/>
        </w:rPr>
        <w:t>人次，共计支出</w:t>
      </w:r>
      <w:r>
        <w:rPr>
          <w:rFonts w:hint="eastAsia" w:eastAsia="仿宋_GB2312"/>
          <w:sz w:val="32"/>
          <w:szCs w:val="32"/>
        </w:rPr>
        <w:t>23.60</w:t>
      </w:r>
      <w:r>
        <w:rPr>
          <w:rFonts w:eastAsia="仿宋_GB2312"/>
          <w:sz w:val="32"/>
          <w:szCs w:val="32"/>
        </w:rPr>
        <w:t>万元，具体内容包括：生活费</w:t>
      </w:r>
      <w:r>
        <w:rPr>
          <w:rFonts w:hint="eastAsia" w:eastAsia="仿宋_GB2312"/>
          <w:sz w:val="32"/>
          <w:szCs w:val="32"/>
        </w:rPr>
        <w:t>23.60</w:t>
      </w:r>
      <w:r>
        <w:rPr>
          <w:rFonts w:eastAsia="仿宋_GB2312"/>
          <w:sz w:val="32"/>
          <w:szCs w:val="32"/>
        </w:rPr>
        <w:t>万元，住宿费0万元。</w:t>
      </w:r>
    </w:p>
    <w:p>
      <w:pPr>
        <w:pStyle w:val="4"/>
        <w:snapToGrid w:val="0"/>
        <w:spacing w:before="0" w:after="0" w:line="576" w:lineRule="exact"/>
        <w:ind w:firstLine="640" w:firstLineChars="200"/>
        <w:rPr>
          <w:rFonts w:ascii="黑体" w:hAnsi="黑体" w:eastAsia="黑体" w:cs="黑体"/>
          <w:b w:val="0"/>
          <w:highlight w:val="none"/>
        </w:rPr>
      </w:pPr>
      <w:bookmarkStart w:id="58" w:name="_Toc25205"/>
      <w:r>
        <w:rPr>
          <w:rFonts w:ascii="黑体" w:hAnsi="黑体" w:eastAsia="黑体" w:cs="黑体"/>
          <w:b w:val="0"/>
          <w:highlight w:val="none"/>
        </w:rPr>
        <w:t>八、政府性基金</w:t>
      </w:r>
      <w:r>
        <w:rPr>
          <w:rFonts w:hint="eastAsia" w:ascii="黑体" w:hAnsi="黑体" w:eastAsia="黑体" w:cs="黑体"/>
          <w:b w:val="0"/>
          <w:highlight w:val="none"/>
          <w:lang w:eastAsia="zh-CN"/>
        </w:rPr>
        <w:t>预</w:t>
      </w:r>
      <w:r>
        <w:rPr>
          <w:rFonts w:ascii="黑体" w:hAnsi="黑体" w:eastAsia="黑体" w:cs="黑体"/>
          <w:b w:val="0"/>
          <w:highlight w:val="none"/>
        </w:rPr>
        <w:t>算支出决算情况说明</w:t>
      </w:r>
      <w:bookmarkEnd w:id="56"/>
      <w:bookmarkEnd w:id="57"/>
      <w:bookmarkEnd w:id="58"/>
    </w:p>
    <w:p>
      <w:pPr>
        <w:snapToGrid w:val="0"/>
        <w:spacing w:line="576" w:lineRule="exact"/>
        <w:ind w:firstLine="640" w:firstLineChars="200"/>
        <w:rPr>
          <w:rFonts w:eastAsia="仿宋_GB2312"/>
          <w:sz w:val="32"/>
          <w:szCs w:val="32"/>
          <w:highlight w:val="none"/>
        </w:rPr>
      </w:pPr>
      <w:r>
        <w:rPr>
          <w:rFonts w:eastAsia="仿宋_GB2312"/>
          <w:sz w:val="32"/>
          <w:szCs w:val="32"/>
          <w:highlight w:val="none"/>
        </w:rPr>
        <w:t>202</w:t>
      </w:r>
      <w:r>
        <w:rPr>
          <w:rFonts w:hint="eastAsia" w:eastAsia="仿宋_GB2312"/>
          <w:sz w:val="32"/>
          <w:szCs w:val="32"/>
          <w:highlight w:val="none"/>
          <w:lang w:val="en-US" w:eastAsia="zh-CN"/>
        </w:rPr>
        <w:t>2</w:t>
      </w:r>
      <w:r>
        <w:rPr>
          <w:rFonts w:eastAsia="仿宋_GB2312"/>
          <w:sz w:val="32"/>
          <w:szCs w:val="32"/>
          <w:highlight w:val="none"/>
        </w:rPr>
        <w:t>年政府性基金</w:t>
      </w:r>
      <w:r>
        <w:rPr>
          <w:rFonts w:hint="eastAsia" w:eastAsia="仿宋_GB2312"/>
          <w:sz w:val="32"/>
          <w:szCs w:val="32"/>
          <w:highlight w:val="none"/>
          <w:lang w:eastAsia="zh-CN"/>
        </w:rPr>
        <w:t>预</w:t>
      </w:r>
      <w:r>
        <w:rPr>
          <w:rFonts w:eastAsia="仿宋_GB2312"/>
          <w:sz w:val="32"/>
          <w:szCs w:val="32"/>
          <w:highlight w:val="none"/>
        </w:rPr>
        <w:t>算财政拨款支出0万元。</w:t>
      </w:r>
    </w:p>
    <w:p>
      <w:pPr>
        <w:pStyle w:val="4"/>
        <w:snapToGrid w:val="0"/>
        <w:spacing w:before="0" w:after="0" w:line="576" w:lineRule="exact"/>
        <w:ind w:firstLine="640" w:firstLineChars="200"/>
        <w:rPr>
          <w:rFonts w:ascii="黑体" w:hAnsi="黑体" w:eastAsia="黑体" w:cs="黑体"/>
          <w:b w:val="0"/>
        </w:rPr>
      </w:pPr>
      <w:bookmarkStart w:id="59" w:name="_Toc15377219"/>
      <w:bookmarkStart w:id="60" w:name="_Toc28630"/>
      <w:bookmarkStart w:id="61" w:name="_Toc15396611"/>
      <w:r>
        <w:rPr>
          <w:rFonts w:hint="eastAsia" w:ascii="黑体" w:hAnsi="黑体" w:eastAsia="黑体" w:cs="黑体"/>
          <w:b w:val="0"/>
        </w:rPr>
        <w:t>九、</w:t>
      </w:r>
      <w:r>
        <w:rPr>
          <w:rFonts w:ascii="黑体" w:hAnsi="黑体" w:eastAsia="黑体" w:cs="黑体"/>
          <w:b w:val="0"/>
        </w:rPr>
        <w:t>国有资本经营</w:t>
      </w:r>
      <w:r>
        <w:rPr>
          <w:rFonts w:hint="eastAsia" w:ascii="黑体" w:hAnsi="黑体" w:eastAsia="黑体" w:cs="黑体"/>
          <w:b w:val="0"/>
          <w:lang w:eastAsia="zh-CN"/>
        </w:rPr>
        <w:t>预</w:t>
      </w:r>
      <w:r>
        <w:rPr>
          <w:rFonts w:ascii="黑体" w:hAnsi="黑体" w:eastAsia="黑体" w:cs="黑体"/>
          <w:b w:val="0"/>
        </w:rPr>
        <w:t>算支出决算情况说明</w:t>
      </w:r>
      <w:bookmarkEnd w:id="59"/>
      <w:bookmarkEnd w:id="60"/>
      <w:bookmarkEnd w:id="61"/>
    </w:p>
    <w:p>
      <w:pPr>
        <w:snapToGrid w:val="0"/>
        <w:spacing w:line="576" w:lineRule="exact"/>
        <w:ind w:firstLine="640" w:firstLineChars="200"/>
        <w:rPr>
          <w:rFonts w:eastAsia="仿宋_GB2312"/>
          <w:sz w:val="32"/>
          <w:szCs w:val="32"/>
        </w:rPr>
      </w:pPr>
      <w:r>
        <w:rPr>
          <w:rFonts w:eastAsia="仿宋_GB2312"/>
          <w:sz w:val="32"/>
          <w:szCs w:val="32"/>
        </w:rPr>
        <w:t>202</w:t>
      </w:r>
      <w:r>
        <w:rPr>
          <w:rFonts w:hint="eastAsia" w:eastAsia="仿宋_GB2312"/>
          <w:sz w:val="32"/>
          <w:szCs w:val="32"/>
          <w:lang w:val="en-US" w:eastAsia="zh-CN"/>
        </w:rPr>
        <w:t>2</w:t>
      </w:r>
      <w:r>
        <w:rPr>
          <w:rFonts w:eastAsia="仿宋_GB2312"/>
          <w:sz w:val="32"/>
          <w:szCs w:val="32"/>
        </w:rPr>
        <w:t>年国有资本经营</w:t>
      </w:r>
      <w:r>
        <w:rPr>
          <w:rFonts w:hint="eastAsia" w:eastAsia="仿宋_GB2312"/>
          <w:sz w:val="32"/>
          <w:szCs w:val="32"/>
          <w:lang w:eastAsia="zh-CN"/>
        </w:rPr>
        <w:t>预</w:t>
      </w:r>
      <w:r>
        <w:rPr>
          <w:rFonts w:eastAsia="仿宋_GB2312"/>
          <w:sz w:val="32"/>
          <w:szCs w:val="32"/>
        </w:rPr>
        <w:t>算财政拨款支出0万元。</w:t>
      </w:r>
    </w:p>
    <w:p>
      <w:pPr>
        <w:pStyle w:val="4"/>
        <w:snapToGrid w:val="0"/>
        <w:spacing w:before="0" w:after="0" w:line="576" w:lineRule="exact"/>
        <w:ind w:firstLine="640" w:firstLineChars="200"/>
        <w:rPr>
          <w:rFonts w:ascii="黑体" w:hAnsi="黑体" w:eastAsia="黑体" w:cs="黑体"/>
          <w:b w:val="0"/>
          <w:highlight w:val="none"/>
        </w:rPr>
      </w:pPr>
      <w:bookmarkStart w:id="62" w:name="_Toc6160"/>
      <w:r>
        <w:rPr>
          <w:rFonts w:hint="eastAsia" w:ascii="黑体" w:hAnsi="黑体" w:eastAsia="黑体" w:cs="黑体"/>
          <w:b w:val="0"/>
          <w:highlight w:val="none"/>
        </w:rPr>
        <w:t>十、</w:t>
      </w:r>
      <w:r>
        <w:rPr>
          <w:rFonts w:ascii="黑体" w:hAnsi="黑体" w:eastAsia="黑体" w:cs="黑体"/>
          <w:b w:val="0"/>
          <w:highlight w:val="none"/>
        </w:rPr>
        <w:t>其他重要事项的情况说明</w:t>
      </w:r>
      <w:bookmarkEnd w:id="62"/>
    </w:p>
    <w:p>
      <w:pPr>
        <w:snapToGrid w:val="0"/>
        <w:spacing w:line="576" w:lineRule="exact"/>
        <w:ind w:firstLine="642" w:firstLineChars="200"/>
        <w:outlineLvl w:val="2"/>
        <w:rPr>
          <w:rFonts w:hint="eastAsia" w:eastAsia="仿宋_GB2312"/>
          <w:sz w:val="32"/>
          <w:szCs w:val="32"/>
          <w:highlight w:val="none"/>
          <w:lang w:eastAsia="zh-CN"/>
        </w:rPr>
      </w:pPr>
      <w:bookmarkStart w:id="63" w:name="_Toc15377222"/>
      <w:r>
        <w:rPr>
          <w:rFonts w:eastAsia="仿宋_GB2312"/>
          <w:b/>
          <w:sz w:val="32"/>
          <w:szCs w:val="32"/>
          <w:highlight w:val="none"/>
        </w:rPr>
        <w:t>（一）机关运行经费支出情况</w:t>
      </w:r>
      <w:bookmarkEnd w:id="63"/>
    </w:p>
    <w:p>
      <w:pPr>
        <w:snapToGrid w:val="0"/>
        <w:spacing w:line="576" w:lineRule="exact"/>
        <w:ind w:firstLine="640" w:firstLineChars="200"/>
        <w:rPr>
          <w:rFonts w:eastAsia="仿宋_GB2312"/>
          <w:sz w:val="32"/>
          <w:szCs w:val="32"/>
          <w:highlight w:val="none"/>
        </w:rPr>
      </w:pPr>
      <w:r>
        <w:rPr>
          <w:rFonts w:eastAsia="仿宋_GB2312"/>
          <w:sz w:val="32"/>
          <w:szCs w:val="32"/>
          <w:highlight w:val="none"/>
        </w:rPr>
        <w:t>202</w:t>
      </w:r>
      <w:r>
        <w:rPr>
          <w:rFonts w:hint="eastAsia" w:eastAsia="仿宋_GB2312"/>
          <w:sz w:val="32"/>
          <w:szCs w:val="32"/>
          <w:highlight w:val="none"/>
          <w:lang w:val="en-US" w:eastAsia="zh-CN"/>
        </w:rPr>
        <w:t>2</w:t>
      </w:r>
      <w:r>
        <w:rPr>
          <w:rFonts w:eastAsia="仿宋_GB2312"/>
          <w:sz w:val="32"/>
          <w:szCs w:val="32"/>
          <w:highlight w:val="none"/>
        </w:rPr>
        <w:t>年，卫子镇人民政府机关运行经费支出</w:t>
      </w:r>
      <w:r>
        <w:rPr>
          <w:rFonts w:hint="eastAsia" w:eastAsia="仿宋_GB2312"/>
          <w:sz w:val="32"/>
          <w:szCs w:val="32"/>
          <w:highlight w:val="none"/>
          <w:lang w:val="en-US" w:eastAsia="zh-CN"/>
        </w:rPr>
        <w:t>193.17</w:t>
      </w:r>
      <w:r>
        <w:rPr>
          <w:rFonts w:eastAsia="仿宋_GB2312"/>
          <w:sz w:val="32"/>
          <w:szCs w:val="32"/>
          <w:highlight w:val="none"/>
        </w:rPr>
        <w:t>万元，比202</w:t>
      </w:r>
      <w:r>
        <w:rPr>
          <w:rFonts w:hint="eastAsia" w:eastAsia="仿宋_GB2312"/>
          <w:sz w:val="32"/>
          <w:szCs w:val="32"/>
          <w:highlight w:val="none"/>
          <w:lang w:val="en-US" w:eastAsia="zh-CN"/>
        </w:rPr>
        <w:t>1</w:t>
      </w:r>
      <w:r>
        <w:rPr>
          <w:rFonts w:eastAsia="仿宋_GB2312"/>
          <w:sz w:val="32"/>
          <w:szCs w:val="32"/>
          <w:highlight w:val="none"/>
        </w:rPr>
        <w:t>年年</w:t>
      </w:r>
      <w:r>
        <w:rPr>
          <w:rFonts w:hint="eastAsia" w:eastAsia="仿宋_GB2312"/>
          <w:sz w:val="32"/>
          <w:szCs w:val="32"/>
          <w:highlight w:val="none"/>
          <w:lang w:eastAsia="zh-CN"/>
        </w:rPr>
        <w:t>减少</w:t>
      </w:r>
      <w:r>
        <w:rPr>
          <w:rFonts w:hint="eastAsia" w:eastAsia="仿宋_GB2312"/>
          <w:sz w:val="32"/>
          <w:szCs w:val="32"/>
          <w:highlight w:val="none"/>
          <w:lang w:val="en-US" w:eastAsia="zh-CN"/>
        </w:rPr>
        <w:t>73.1</w:t>
      </w:r>
      <w:r>
        <w:rPr>
          <w:rFonts w:eastAsia="仿宋_GB2312"/>
          <w:sz w:val="32"/>
          <w:szCs w:val="32"/>
          <w:highlight w:val="none"/>
        </w:rPr>
        <w:t>万元，</w:t>
      </w:r>
      <w:r>
        <w:rPr>
          <w:rFonts w:hint="eastAsia" w:eastAsia="仿宋_GB2312"/>
          <w:sz w:val="32"/>
          <w:szCs w:val="32"/>
          <w:highlight w:val="none"/>
          <w:lang w:eastAsia="zh-CN"/>
        </w:rPr>
        <w:t>减少</w:t>
      </w:r>
      <w:r>
        <w:rPr>
          <w:rFonts w:hint="eastAsia" w:eastAsia="仿宋_GB2312"/>
          <w:sz w:val="32"/>
          <w:szCs w:val="32"/>
          <w:highlight w:val="none"/>
          <w:lang w:val="en-US" w:eastAsia="zh-CN"/>
        </w:rPr>
        <w:t>27.4</w:t>
      </w:r>
      <w:r>
        <w:rPr>
          <w:rFonts w:eastAsia="仿宋_GB2312"/>
          <w:sz w:val="32"/>
          <w:szCs w:val="32"/>
          <w:highlight w:val="none"/>
        </w:rPr>
        <w:t>%.</w:t>
      </w:r>
      <w:bookmarkStart w:id="64" w:name="_Toc15377223"/>
      <w:r>
        <w:rPr>
          <w:rFonts w:eastAsia="仿宋_GB2312"/>
          <w:sz w:val="32"/>
          <w:szCs w:val="32"/>
          <w:highlight w:val="none"/>
        </w:rPr>
        <w:t>主要原因是</w:t>
      </w:r>
      <w:r>
        <w:rPr>
          <w:rFonts w:hint="eastAsia" w:eastAsia="仿宋_GB2312"/>
          <w:sz w:val="32"/>
          <w:szCs w:val="32"/>
          <w:highlight w:val="none"/>
        </w:rPr>
        <w:t>人员变动</w:t>
      </w:r>
      <w:r>
        <w:rPr>
          <w:rFonts w:eastAsia="仿宋_GB2312"/>
          <w:sz w:val="32"/>
          <w:szCs w:val="32"/>
          <w:highlight w:val="none"/>
        </w:rPr>
        <w:t>。</w:t>
      </w:r>
    </w:p>
    <w:p>
      <w:pPr>
        <w:snapToGrid w:val="0"/>
        <w:spacing w:line="576" w:lineRule="exact"/>
        <w:ind w:firstLine="642" w:firstLineChars="200"/>
        <w:rPr>
          <w:rFonts w:eastAsia="仿宋_GB2312"/>
          <w:b/>
          <w:sz w:val="32"/>
          <w:szCs w:val="32"/>
          <w:highlight w:val="none"/>
        </w:rPr>
      </w:pPr>
      <w:r>
        <w:rPr>
          <w:rFonts w:eastAsia="仿宋_GB2312"/>
          <w:b/>
          <w:sz w:val="32"/>
          <w:szCs w:val="32"/>
          <w:highlight w:val="none"/>
        </w:rPr>
        <w:t>（二）政府采购支出情况</w:t>
      </w:r>
      <w:bookmarkEnd w:id="64"/>
    </w:p>
    <w:p>
      <w:pPr>
        <w:widowControl/>
        <w:shd w:val="clear" w:color="auto" w:fill="FFFFFF"/>
        <w:snapToGrid w:val="0"/>
        <w:spacing w:line="576" w:lineRule="exact"/>
        <w:ind w:firstLine="640" w:firstLineChars="200"/>
        <w:rPr>
          <w:rFonts w:eastAsia="仿宋_GB2312"/>
          <w:sz w:val="32"/>
          <w:szCs w:val="32"/>
          <w:highlight w:val="none"/>
        </w:rPr>
      </w:pPr>
      <w:r>
        <w:rPr>
          <w:rFonts w:eastAsia="仿宋_GB2312"/>
          <w:sz w:val="32"/>
          <w:szCs w:val="32"/>
          <w:highlight w:val="none"/>
        </w:rPr>
        <w:t>202</w:t>
      </w:r>
      <w:r>
        <w:rPr>
          <w:rFonts w:hint="eastAsia" w:eastAsia="仿宋_GB2312"/>
          <w:sz w:val="32"/>
          <w:szCs w:val="32"/>
          <w:highlight w:val="none"/>
          <w:lang w:val="en-US" w:eastAsia="zh-CN"/>
        </w:rPr>
        <w:t>2</w:t>
      </w:r>
      <w:r>
        <w:rPr>
          <w:rFonts w:eastAsia="仿宋_GB2312"/>
          <w:sz w:val="32"/>
          <w:szCs w:val="32"/>
          <w:highlight w:val="none"/>
        </w:rPr>
        <w:t>年，政府采购支出总额0万元</w:t>
      </w:r>
      <w:r>
        <w:rPr>
          <w:rFonts w:hint="eastAsia" w:eastAsia="仿宋_GB2312"/>
          <w:sz w:val="32"/>
          <w:szCs w:val="32"/>
          <w:highlight w:val="none"/>
          <w:lang w:eastAsia="zh-CN"/>
        </w:rPr>
        <w:t>，</w:t>
      </w:r>
      <w:r>
        <w:rPr>
          <w:rFonts w:hint="eastAsia" w:ascii="仿宋_GB2312" w:eastAsia="仿宋_GB2312"/>
          <w:color w:val="auto"/>
          <w:sz w:val="32"/>
          <w:szCs w:val="32"/>
          <w:highlight w:val="none"/>
          <w:lang w:val="en-US" w:eastAsia="zh-CN"/>
        </w:rPr>
        <w:t>本年未发生政府采购</w:t>
      </w:r>
      <w:r>
        <w:rPr>
          <w:rFonts w:hint="eastAsia" w:eastAsia="仿宋_GB2312"/>
          <w:highlight w:val="none"/>
          <w:lang w:val="en-US" w:eastAsia="zh-CN"/>
        </w:rPr>
        <w:t>。</w:t>
      </w:r>
    </w:p>
    <w:p>
      <w:pPr>
        <w:autoSpaceDE w:val="0"/>
        <w:autoSpaceDN w:val="0"/>
        <w:adjustRightInd w:val="0"/>
        <w:snapToGrid w:val="0"/>
        <w:spacing w:line="576" w:lineRule="exact"/>
        <w:ind w:firstLine="642" w:firstLineChars="200"/>
        <w:jc w:val="left"/>
        <w:outlineLvl w:val="2"/>
        <w:rPr>
          <w:rFonts w:eastAsia="仿宋_GB2312"/>
          <w:b/>
          <w:sz w:val="32"/>
          <w:szCs w:val="32"/>
          <w:highlight w:val="none"/>
        </w:rPr>
      </w:pPr>
      <w:bookmarkStart w:id="65" w:name="_Toc15377224"/>
      <w:r>
        <w:rPr>
          <w:rFonts w:eastAsia="仿宋_GB2312"/>
          <w:b/>
          <w:sz w:val="32"/>
          <w:szCs w:val="32"/>
          <w:highlight w:val="none"/>
        </w:rPr>
        <w:t>（三）国有资产占有使用情况</w:t>
      </w:r>
      <w:bookmarkEnd w:id="65"/>
    </w:p>
    <w:p>
      <w:pPr>
        <w:autoSpaceDE w:val="0"/>
        <w:autoSpaceDN w:val="0"/>
        <w:adjustRightInd w:val="0"/>
        <w:snapToGrid w:val="0"/>
        <w:spacing w:line="576" w:lineRule="exact"/>
        <w:ind w:firstLine="640" w:firstLineChars="200"/>
        <w:jc w:val="left"/>
        <w:rPr>
          <w:rFonts w:hint="eastAsia" w:ascii="仿宋_GB2312" w:eastAsia="仿宋_GB2312"/>
          <w:color w:val="auto"/>
          <w:sz w:val="32"/>
          <w:szCs w:val="32"/>
          <w:highlight w:val="none"/>
          <w:lang w:val="en-US" w:eastAsia="zh-CN"/>
        </w:rPr>
      </w:pPr>
      <w:r>
        <w:rPr>
          <w:rFonts w:eastAsia="仿宋_GB2312"/>
          <w:sz w:val="32"/>
          <w:szCs w:val="32"/>
          <w:highlight w:val="none"/>
        </w:rPr>
        <w:t>截至202</w:t>
      </w:r>
      <w:r>
        <w:rPr>
          <w:rFonts w:hint="eastAsia" w:eastAsia="仿宋_GB2312"/>
          <w:sz w:val="32"/>
          <w:szCs w:val="32"/>
          <w:highlight w:val="none"/>
          <w:lang w:val="en-US" w:eastAsia="zh-CN"/>
        </w:rPr>
        <w:t>2</w:t>
      </w:r>
      <w:r>
        <w:rPr>
          <w:rFonts w:eastAsia="仿宋_GB2312"/>
          <w:sz w:val="32"/>
          <w:szCs w:val="32"/>
          <w:highlight w:val="none"/>
        </w:rPr>
        <w:t>年12月31日，卫子镇人民政府共有车辆0辆，</w:t>
      </w:r>
      <w:r>
        <w:rPr>
          <w:rFonts w:hint="eastAsia" w:ascii="仿宋_GB2312" w:eastAsia="仿宋_GB2312"/>
          <w:color w:val="auto"/>
          <w:sz w:val="32"/>
          <w:szCs w:val="32"/>
          <w:highlight w:val="none"/>
          <w:lang w:val="en-US" w:eastAsia="zh-CN"/>
        </w:rPr>
        <w:t>年初未安排预算。</w:t>
      </w:r>
    </w:p>
    <w:p>
      <w:pPr>
        <w:autoSpaceDE w:val="0"/>
        <w:autoSpaceDN w:val="0"/>
        <w:adjustRightInd w:val="0"/>
        <w:snapToGrid w:val="0"/>
        <w:spacing w:line="576" w:lineRule="exact"/>
        <w:ind w:firstLine="642" w:firstLineChars="200"/>
        <w:jc w:val="left"/>
        <w:outlineLvl w:val="2"/>
        <w:rPr>
          <w:rFonts w:hint="eastAsia" w:eastAsia="仿宋_GB2312"/>
          <w:b/>
          <w:sz w:val="32"/>
          <w:szCs w:val="32"/>
          <w:highlight w:val="none"/>
          <w:lang w:eastAsia="zh-CN"/>
        </w:rPr>
      </w:pPr>
      <w:r>
        <w:rPr>
          <w:rFonts w:eastAsia="仿宋_GB2312"/>
          <w:b/>
          <w:sz w:val="32"/>
          <w:szCs w:val="32"/>
          <w:highlight w:val="none"/>
        </w:rPr>
        <w:t>（</w:t>
      </w:r>
      <w:r>
        <w:rPr>
          <w:rFonts w:hint="eastAsia" w:eastAsia="仿宋_GB2312"/>
          <w:b/>
          <w:sz w:val="32"/>
          <w:szCs w:val="32"/>
          <w:highlight w:val="none"/>
          <w:lang w:eastAsia="zh-CN"/>
        </w:rPr>
        <w:t>四</w:t>
      </w:r>
      <w:r>
        <w:rPr>
          <w:rFonts w:eastAsia="仿宋_GB2312"/>
          <w:b/>
          <w:sz w:val="32"/>
          <w:szCs w:val="32"/>
          <w:highlight w:val="none"/>
        </w:rPr>
        <w:t>）</w:t>
      </w:r>
      <w:r>
        <w:rPr>
          <w:rFonts w:hint="eastAsia" w:eastAsia="仿宋_GB2312"/>
          <w:b/>
          <w:sz w:val="32"/>
          <w:szCs w:val="32"/>
          <w:highlight w:val="none"/>
          <w:lang w:eastAsia="zh-CN"/>
        </w:rPr>
        <w:t>预算绩效管理情况</w:t>
      </w:r>
    </w:p>
    <w:p>
      <w:pPr>
        <w:pStyle w:val="2"/>
      </w:pP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_GB2312" w:eastAsia="仿宋_GB2312" w:cs="仿宋_GB2312"/>
          <w:color w:val="auto"/>
          <w:sz w:val="32"/>
          <w:szCs w:val="32"/>
          <w:highlight w:val="none"/>
          <w:lang w:eastAsia="zh-CN"/>
        </w:rPr>
        <w:t>基层组织活动和公共服务运行</w:t>
      </w:r>
      <w:r>
        <w:rPr>
          <w:rFonts w:hint="eastAsia" w:ascii="仿宋_GB2312" w:hAnsi="仿宋_GB2312" w:eastAsia="仿宋_GB2312" w:cs="仿宋_GB2312"/>
          <w:color w:val="auto"/>
          <w:sz w:val="32"/>
          <w:szCs w:val="32"/>
          <w:highlight w:val="none"/>
        </w:rPr>
        <w:t>项目等</w:t>
      </w:r>
      <w:r>
        <w:rPr>
          <w:rFonts w:hint="eastAsia" w:ascii="仿宋_GB2312" w:hAnsi="仿宋_GB2312" w:eastAsia="仿宋_GB2312" w:cs="仿宋_GB2312"/>
          <w:color w:val="auto"/>
          <w:sz w:val="32"/>
          <w:szCs w:val="32"/>
          <w:highlight w:val="none"/>
          <w:lang w:val="en-US" w:eastAsia="zh-CN"/>
        </w:rPr>
        <w:t>33</w:t>
      </w:r>
      <w:r>
        <w:rPr>
          <w:rFonts w:hint="eastAsia" w:ascii="仿宋_GB2312" w:hAnsi="仿宋_GB2312" w:eastAsia="仿宋_GB2312" w:cs="仿宋_GB2312"/>
          <w:color w:val="auto"/>
          <w:sz w:val="32"/>
          <w:szCs w:val="32"/>
          <w:highlight w:val="none"/>
        </w:rPr>
        <w:t>个项目开展了预算事前绩效评估，对</w:t>
      </w:r>
      <w:r>
        <w:rPr>
          <w:rFonts w:hint="eastAsia" w:ascii="仿宋_GB2312" w:hAnsi="仿宋_GB2312" w:eastAsia="仿宋_GB2312" w:cs="仿宋_GB2312"/>
          <w:color w:val="auto"/>
          <w:sz w:val="32"/>
          <w:szCs w:val="32"/>
          <w:highlight w:val="none"/>
          <w:lang w:val="en-US" w:eastAsia="zh-CN"/>
        </w:rPr>
        <w:t>33</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33</w:t>
      </w:r>
      <w:r>
        <w:rPr>
          <w:rFonts w:hint="eastAsia" w:ascii="仿宋_GB2312" w:hAnsi="仿宋_GB2312" w:eastAsia="仿宋_GB2312" w:cs="仿宋_GB2312"/>
          <w:color w:val="auto"/>
          <w:sz w:val="32"/>
          <w:szCs w:val="32"/>
          <w:highlight w:val="none"/>
        </w:rPr>
        <w:t>个项目开展绩效监控。</w:t>
      </w:r>
    </w:p>
    <w:p>
      <w:pPr>
        <w:numPr>
          <w:ilvl w:val="0"/>
          <w:numId w:val="0"/>
        </w:numPr>
        <w:ind w:firstLine="640" w:firstLineChars="200"/>
        <w:rPr>
          <w:rFonts w:hint="eastAsia"/>
          <w:lang w:eastAsia="zh-CN"/>
        </w:rPr>
      </w:pPr>
      <w:r>
        <w:rPr>
          <w:rFonts w:hint="eastAsia" w:ascii="仿宋_GB2312" w:hAnsi="仿宋_GB2312" w:eastAsia="仿宋_GB2312" w:cs="仿宋_GB2312"/>
          <w:color w:val="auto"/>
          <w:sz w:val="32"/>
          <w:szCs w:val="32"/>
          <w:highlight w:val="none"/>
        </w:rPr>
        <w:t>组织对2022年度一般公共预算全面开展绩效自评，形成</w:t>
      </w:r>
      <w:r>
        <w:rPr>
          <w:rFonts w:hint="eastAsia" w:ascii="仿宋_GB2312" w:hAnsi="仿宋_GB2312" w:eastAsia="仿宋_GB2312" w:cs="仿宋_GB2312"/>
          <w:color w:val="auto"/>
          <w:sz w:val="32"/>
          <w:szCs w:val="32"/>
          <w:highlight w:val="none"/>
          <w:lang w:eastAsia="zh-CN"/>
        </w:rPr>
        <w:t>卫子镇</w:t>
      </w:r>
      <w:r>
        <w:rPr>
          <w:rFonts w:hint="eastAsia" w:ascii="仿宋_GB2312" w:hAnsi="仿宋_GB2312" w:eastAsia="仿宋_GB2312" w:cs="仿宋_GB2312"/>
          <w:color w:val="auto"/>
          <w:sz w:val="32"/>
          <w:szCs w:val="32"/>
          <w:highlight w:val="none"/>
        </w:rPr>
        <w:t>部门整体</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绩效自评报告、</w:t>
      </w:r>
      <w:r>
        <w:rPr>
          <w:rFonts w:hint="eastAsia" w:ascii="仿宋_GB2312" w:hAnsi="仿宋_GB2312" w:eastAsia="仿宋_GB2312" w:cs="仿宋_GB2312"/>
          <w:color w:val="auto"/>
          <w:sz w:val="32"/>
          <w:szCs w:val="32"/>
          <w:highlight w:val="none"/>
          <w:lang w:eastAsia="zh-CN"/>
        </w:rPr>
        <w:t>基层组织活动和公共服务运行</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eastAsia="zh-CN"/>
        </w:rPr>
        <w:t>、烟叶产业发展资金项目</w:t>
      </w:r>
      <w:r>
        <w:rPr>
          <w:rFonts w:hint="eastAsia" w:ascii="仿宋_GB2312" w:hAnsi="仿宋_GB2312" w:eastAsia="仿宋_GB2312" w:cs="仿宋_GB2312"/>
          <w:color w:val="auto"/>
          <w:sz w:val="32"/>
          <w:szCs w:val="32"/>
          <w:highlight w:val="none"/>
        </w:rPr>
        <w:t>等专项预算项目绩效自评报告，其中，部门整体绩效自评得分为</w:t>
      </w:r>
      <w:r>
        <w:rPr>
          <w:rFonts w:hint="eastAsia" w:ascii="仿宋_GB2312" w:hAnsi="仿宋_GB2312" w:eastAsia="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基层组织活动和公共服务运行</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eastAsia="zh-CN"/>
        </w:rPr>
        <w:t>自评得分</w:t>
      </w:r>
      <w:r>
        <w:rPr>
          <w:rFonts w:hint="eastAsia" w:ascii="仿宋_GB2312" w:hAnsi="仿宋_GB2312" w:eastAsia="仿宋_GB2312" w:cs="仿宋_GB2312"/>
          <w:color w:val="auto"/>
          <w:sz w:val="32"/>
          <w:szCs w:val="32"/>
          <w:highlight w:val="none"/>
          <w:lang w:val="en-US" w:eastAsia="zh-CN"/>
        </w:rPr>
        <w:t>99.5分；</w:t>
      </w:r>
      <w:r>
        <w:rPr>
          <w:rFonts w:hint="eastAsia" w:ascii="仿宋_GB2312" w:hAnsi="仿宋_GB2312" w:eastAsia="仿宋_GB2312" w:cs="仿宋_GB2312"/>
          <w:color w:val="auto"/>
          <w:sz w:val="32"/>
          <w:szCs w:val="32"/>
          <w:highlight w:val="none"/>
          <w:lang w:eastAsia="zh-CN"/>
        </w:rPr>
        <w:t>烟叶产业发展资金项目</w:t>
      </w:r>
      <w:r>
        <w:rPr>
          <w:rFonts w:hint="eastAsia" w:ascii="仿宋_GB2312" w:hAnsi="仿宋_GB2312" w:eastAsia="仿宋_GB2312" w:cs="仿宋_GB2312"/>
          <w:color w:val="auto"/>
          <w:sz w:val="32"/>
          <w:szCs w:val="32"/>
          <w:highlight w:val="none"/>
        </w:rPr>
        <w:t>专项预算项目绩效自评得分为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分。绩效自评报告详见附件。</w:t>
      </w: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3"/>
        <w:snapToGrid w:val="0"/>
        <w:spacing w:beforeLines="50" w:afterLines="50" w:line="576" w:lineRule="exact"/>
        <w:jc w:val="center"/>
        <w:rPr>
          <w:rFonts w:ascii="方正小标宋简体" w:hAnsi="方正小标宋简体" w:eastAsia="方正小标宋简体" w:cs="方正小标宋简体"/>
          <w:b w:val="0"/>
        </w:rPr>
      </w:pPr>
      <w:bookmarkStart w:id="66" w:name="_Toc8447"/>
      <w:bookmarkStart w:id="67" w:name="_Toc15396613"/>
      <w:bookmarkStart w:id="68" w:name="_Toc15377225"/>
      <w:r>
        <w:rPr>
          <w:rFonts w:hint="eastAsia" w:ascii="方正小标宋简体" w:hAnsi="方正小标宋简体" w:eastAsia="方正小标宋简体" w:cs="方正小标宋简体"/>
          <w:b w:val="0"/>
        </w:rPr>
        <w:t>第</w:t>
      </w:r>
      <w:r>
        <w:rPr>
          <w:rFonts w:hint="eastAsia" w:ascii="方正小标宋简体" w:hAnsi="方正小标宋简体" w:eastAsia="方正小标宋简体" w:cs="方正小标宋简体"/>
          <w:b w:val="0"/>
          <w:lang w:eastAsia="zh-CN"/>
        </w:rPr>
        <w:t>三</w:t>
      </w:r>
      <w:r>
        <w:rPr>
          <w:rFonts w:hint="eastAsia" w:ascii="方正小标宋简体" w:hAnsi="方正小标宋简体" w:eastAsia="方正小标宋简体" w:cs="方正小标宋简体"/>
          <w:b w:val="0"/>
        </w:rPr>
        <w:t xml:space="preserve">部分  </w:t>
      </w:r>
      <w:r>
        <w:rPr>
          <w:rFonts w:ascii="方正小标宋简体" w:hAnsi="方正小标宋简体" w:eastAsia="方正小标宋简体" w:cs="方正小标宋简体"/>
          <w:b w:val="0"/>
        </w:rPr>
        <w:t>名词解释</w:t>
      </w:r>
      <w:bookmarkEnd w:id="66"/>
      <w:bookmarkEnd w:id="67"/>
      <w:bookmarkEnd w:id="68"/>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1.财政拨款收入：</w:t>
      </w:r>
      <w:r>
        <w:rPr>
          <w:rFonts w:ascii="Times New Roman" w:hAnsi="Times New Roman" w:eastAsia="仿宋_GB2312" w:cs="Times New Roman"/>
          <w:color w:val="auto"/>
          <w:sz w:val="32"/>
          <w:szCs w:val="32"/>
        </w:rPr>
        <w:t>指单位从同级财政部门取得的财政决算资金。</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2.事业收入：</w:t>
      </w:r>
      <w:r>
        <w:rPr>
          <w:rFonts w:ascii="Times New Roman" w:hAnsi="Times New Roman" w:eastAsia="仿宋_GB2312" w:cs="Times New Roman"/>
          <w:color w:val="auto"/>
          <w:sz w:val="32"/>
          <w:szCs w:val="32"/>
        </w:rPr>
        <w:t>指事业单位开展专业业务活动及辅助活动取得的收入。</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3.经营收入：</w:t>
      </w:r>
      <w:r>
        <w:rPr>
          <w:rFonts w:ascii="Times New Roman" w:hAnsi="Times New Roman" w:eastAsia="仿宋_GB2312" w:cs="Times New Roman"/>
          <w:color w:val="auto"/>
          <w:sz w:val="32"/>
          <w:szCs w:val="32"/>
        </w:rPr>
        <w:t>指事业单位在专业业务活动及其辅助活动外开展非独立核算经营活动取得的收入。</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4.其他收入：</w:t>
      </w:r>
      <w:r>
        <w:rPr>
          <w:rFonts w:ascii="Times New Roman" w:hAnsi="Times New Roman" w:eastAsia="仿宋_GB2312" w:cs="Times New Roman"/>
          <w:color w:val="auto"/>
          <w:sz w:val="32"/>
          <w:szCs w:val="32"/>
        </w:rPr>
        <w:t>指单位取得的除上述收入以外的各项收入。</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5.使用非财政拨款结余：</w:t>
      </w:r>
      <w:r>
        <w:rPr>
          <w:rFonts w:ascii="Times New Roman" w:hAnsi="Times New Roman" w:eastAsia="仿宋_GB2312" w:cs="Times New Roman"/>
          <w:color w:val="auto"/>
          <w:sz w:val="32"/>
          <w:szCs w:val="32"/>
        </w:rPr>
        <w:t>指事业单位使用以前年度积累的非财政拨款结余弥补当年收支差额的金额。</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6.年初结转和结余：</w:t>
      </w:r>
      <w:r>
        <w:rPr>
          <w:rFonts w:ascii="Times New Roman" w:hAnsi="Times New Roman" w:eastAsia="仿宋_GB2312" w:cs="Times New Roman"/>
          <w:color w:val="auto"/>
          <w:sz w:val="32"/>
          <w:szCs w:val="32"/>
        </w:rPr>
        <w:t>指以前年度尚未完成、结转到本年按有关规定继续使用的资金。</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7.结余分配：</w:t>
      </w:r>
      <w:r>
        <w:rPr>
          <w:rFonts w:ascii="Times New Roman" w:hAnsi="Times New Roman" w:eastAsia="仿宋_GB2312" w:cs="Times New Roman"/>
          <w:color w:val="auto"/>
          <w:sz w:val="32"/>
          <w:szCs w:val="32"/>
        </w:rPr>
        <w:t>指事业单位按照会计制度规定缴纳的所得税、提取的专用结余以及转入非财政拨款结余的金额等。</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8、年末结转和结余</w:t>
      </w:r>
      <w:r>
        <w:rPr>
          <w:rFonts w:ascii="Times New Roman" w:hAnsi="Times New Roman" w:eastAsia="仿宋_GB2312" w:cs="Times New Roman"/>
          <w:color w:val="auto"/>
          <w:sz w:val="32"/>
          <w:szCs w:val="32"/>
        </w:rPr>
        <w:t>：指单位按有关规定结转到下年或以后年度继续使用的资金。</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9、一般公共服务（类）人大事务（款）行政运行（项）</w:t>
      </w:r>
      <w:r>
        <w:rPr>
          <w:rFonts w:ascii="Times New Roman" w:hAnsi="Times New Roman" w:eastAsia="仿宋_GB2312" w:cs="Times New Roman"/>
          <w:color w:val="auto"/>
          <w:sz w:val="32"/>
          <w:szCs w:val="32"/>
        </w:rPr>
        <w:t>指用于人大的基本支出，包括基本工资、津贴补贴等人员经费以及办公费、印刷费、水电费等日常公用经费,保障部门正常运转的支出。      </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10、一般公共服务（类）政府办公厅（室）及相关机构事务（款）行政运行（项）</w:t>
      </w:r>
      <w:r>
        <w:rPr>
          <w:rFonts w:ascii="Times New Roman" w:hAnsi="Times New Roman" w:eastAsia="仿宋_GB2312" w:cs="Times New Roman"/>
          <w:color w:val="auto"/>
          <w:sz w:val="32"/>
          <w:szCs w:val="32"/>
        </w:rPr>
        <w:t>指用于镇政府办公厅(室)及相关机构正常运转的基本支出，包括基本工资、津贴补贴等人员经费以及办公费、印刷费、水电费等日常公用经费,保障部门正常运转。</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11、一般公共服务（类）财政事务(款)行政运行(项)</w:t>
      </w:r>
      <w:r>
        <w:rPr>
          <w:rFonts w:ascii="Times New Roman" w:hAnsi="Times New Roman" w:eastAsia="仿宋_GB2312" w:cs="Times New Roman"/>
          <w:color w:val="auto"/>
          <w:sz w:val="32"/>
          <w:szCs w:val="32"/>
        </w:rPr>
        <w:t>指用于财政基本支出，包括基本工资、津贴补贴等人员经费以及办公费、印刷费、水电费等日常公用经费,保障部门正常运转。</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12、一般公共服务（类）纪检监察事务（款）行政运行（项）</w:t>
      </w:r>
      <w:r>
        <w:rPr>
          <w:rFonts w:ascii="Times New Roman" w:hAnsi="Times New Roman" w:eastAsia="仿宋_GB2312" w:cs="Times New Roman"/>
          <w:color w:val="auto"/>
          <w:sz w:val="32"/>
          <w:szCs w:val="32"/>
        </w:rPr>
        <w:t>指用于纪律检查、党风廉政建设工作等支出。</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13、一般公共服务（类）组织事务（款）行政运行（项）</w:t>
      </w:r>
      <w:r>
        <w:rPr>
          <w:rFonts w:ascii="Times New Roman" w:hAnsi="Times New Roman" w:eastAsia="仿宋_GB2312" w:cs="Times New Roman"/>
          <w:color w:val="auto"/>
          <w:sz w:val="32"/>
          <w:szCs w:val="32"/>
        </w:rPr>
        <w:t>指用于组织事务工作等支出。</w:t>
      </w:r>
    </w:p>
    <w:p>
      <w:pPr>
        <w:pStyle w:val="4"/>
        <w:snapToGrid w:val="0"/>
        <w:spacing w:before="0" w:after="0" w:line="576" w:lineRule="exact"/>
        <w:ind w:firstLine="640" w:firstLineChars="200"/>
        <w:rPr>
          <w:rFonts w:ascii="Times New Roman" w:hAnsi="Times New Roman" w:eastAsia="仿宋_GB2312" w:cs="Times New Roman"/>
          <w:b w:val="0"/>
          <w:bCs w:val="0"/>
        </w:rPr>
      </w:pPr>
      <w:bookmarkStart w:id="69" w:name="_Toc21097"/>
      <w:r>
        <w:rPr>
          <w:rFonts w:ascii="Times New Roman" w:hAnsi="Times New Roman" w:eastAsia="黑体" w:cs="Times New Roman"/>
          <w:b w:val="0"/>
        </w:rPr>
        <w:t>14、一般公共服务（类）党委办公厅（室）及相关机构事务（款）行政运行（项）</w:t>
      </w:r>
      <w:r>
        <w:rPr>
          <w:rFonts w:ascii="Times New Roman" w:hAnsi="Times New Roman" w:eastAsia="仿宋_GB2312" w:cs="Times New Roman"/>
          <w:b w:val="0"/>
          <w:bCs w:val="0"/>
        </w:rPr>
        <w:t>指用于党委办公厅（室）的基本支出，包括基本工资、津贴补贴等人员经费以及办公费、印刷费、水电费等日常公用经费,保障部门正常运转。</w:t>
      </w:r>
      <w:bookmarkEnd w:id="69"/>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15、社会保障和就业（类）人力资源和社会保障管理事务（款）事业运行（项）</w:t>
      </w:r>
      <w:r>
        <w:rPr>
          <w:rFonts w:ascii="Times New Roman" w:hAnsi="Times New Roman" w:eastAsia="仿宋_GB2312" w:cs="Times New Roman"/>
          <w:color w:val="auto"/>
          <w:sz w:val="32"/>
          <w:szCs w:val="32"/>
        </w:rPr>
        <w:t>指用于社会保障部门的基本支出，包括基本工资、津贴补贴等人员经费以及办公费、印刷费、水电费等日常公用经费,保障部门正常运转。</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16、社会保障和就业（类）行政事业单位养老支出（款）机关事业单位基本养老保险缴费支出（项）</w:t>
      </w:r>
      <w:r>
        <w:rPr>
          <w:rFonts w:ascii="Times New Roman" w:hAnsi="Times New Roman" w:eastAsia="仿宋_GB2312" w:cs="Times New Roman"/>
          <w:color w:val="auto"/>
          <w:sz w:val="32"/>
          <w:szCs w:val="32"/>
        </w:rPr>
        <w:t>指用于实施养老保险制度由单位缴纳的基本养老保险支出。</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17.卫生健康（类）行政事业单位医疗（款）行政单位医疗（项）</w:t>
      </w:r>
      <w:r>
        <w:rPr>
          <w:rFonts w:ascii="Times New Roman" w:hAnsi="Times New Roman" w:eastAsia="仿宋_GB2312" w:cs="Times New Roman"/>
          <w:color w:val="auto"/>
          <w:sz w:val="32"/>
          <w:szCs w:val="32"/>
        </w:rPr>
        <w:t>指用于机关及参公管理事业单位按规定由单位缴纳的基本医疗保险支出部门下属事业单位按规定由单位缴纳的基本医疗保险支出。</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18.农林水支出（类）农业农村（款）事业运行（项）</w:t>
      </w:r>
      <w:r>
        <w:rPr>
          <w:rFonts w:ascii="Times New Roman" w:hAnsi="Times New Roman" w:eastAsia="仿宋_GB2312" w:cs="Times New Roman"/>
          <w:color w:val="auto"/>
          <w:sz w:val="32"/>
          <w:szCs w:val="32"/>
        </w:rPr>
        <w:t>指用于行政单位基本支出，包括基本工资、津贴补贴等人员经费以及办公费、印刷费、水电费等日常公用经费,保障部门正常运转。</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19.农林水支出（类）农业农村（款）对高校毕业生到机场任职补助（项）</w:t>
      </w:r>
      <w:r>
        <w:rPr>
          <w:rFonts w:ascii="Times New Roman" w:hAnsi="Times New Roman" w:eastAsia="仿宋_GB2312" w:cs="Times New Roman"/>
          <w:color w:val="auto"/>
          <w:sz w:val="32"/>
          <w:szCs w:val="32"/>
        </w:rPr>
        <w:t>指用于高校毕业生到机场任职补助。</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20.农业农村（类）林业和草原（款）行政运行（项）</w:t>
      </w:r>
      <w:r>
        <w:rPr>
          <w:rFonts w:ascii="Times New Roman" w:hAnsi="Times New Roman" w:eastAsia="仿宋_GB2312" w:cs="Times New Roman"/>
          <w:color w:val="auto"/>
          <w:sz w:val="32"/>
          <w:szCs w:val="32"/>
        </w:rPr>
        <w:t>指用于行政单位基本支出，包括基本工资、津贴补贴等人员经费以及办公费、印刷费、水电费等日常公用经费,保障部门正常运转。</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21.农林水支出（类）农村综合改革（款）对村民委员会和村党支部的补助（项）</w:t>
      </w:r>
      <w:r>
        <w:rPr>
          <w:rFonts w:ascii="Times New Roman" w:hAnsi="Times New Roman" w:eastAsia="仿宋_GB2312" w:cs="Times New Roman"/>
          <w:color w:val="auto"/>
          <w:sz w:val="32"/>
          <w:szCs w:val="32"/>
        </w:rPr>
        <w:t>指用于村（社区）社干部生活补助、村（社区）日常公用经费及农村公共运行维护支出。</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22.住房保障（类）住房改革支出（款）住房公积金（项）</w:t>
      </w:r>
      <w:r>
        <w:rPr>
          <w:rFonts w:ascii="Times New Roman" w:hAnsi="Times New Roman" w:eastAsia="仿宋_GB2312" w:cs="Times New Roman"/>
          <w:color w:val="auto"/>
          <w:sz w:val="32"/>
          <w:szCs w:val="32"/>
        </w:rPr>
        <w:t>指用于部门按规定为职工缴纳的住房公积金支出。</w:t>
      </w:r>
    </w:p>
    <w:p>
      <w:pPr>
        <w:snapToGrid w:val="0"/>
        <w:spacing w:line="576" w:lineRule="exact"/>
        <w:ind w:firstLine="640" w:firstLineChars="200"/>
        <w:rPr>
          <w:rFonts w:eastAsia="仿宋_GB2312"/>
          <w:sz w:val="32"/>
          <w:szCs w:val="32"/>
        </w:rPr>
      </w:pPr>
      <w:r>
        <w:rPr>
          <w:rFonts w:eastAsia="黑体"/>
          <w:bCs/>
          <w:sz w:val="32"/>
          <w:szCs w:val="32"/>
        </w:rPr>
        <w:t>23.基本支出：</w:t>
      </w:r>
      <w:r>
        <w:rPr>
          <w:rFonts w:eastAsia="仿宋_GB2312"/>
          <w:sz w:val="32"/>
          <w:szCs w:val="32"/>
        </w:rPr>
        <w:t>指为保障机构正常运转、完成日常工作任务而发生的人员支出和公用支出。</w:t>
      </w:r>
    </w:p>
    <w:p>
      <w:pPr>
        <w:snapToGrid w:val="0"/>
        <w:spacing w:line="576" w:lineRule="exact"/>
        <w:ind w:firstLine="640" w:firstLineChars="200"/>
        <w:rPr>
          <w:rFonts w:eastAsia="仿宋_GB2312"/>
          <w:sz w:val="32"/>
          <w:szCs w:val="32"/>
        </w:rPr>
      </w:pPr>
      <w:r>
        <w:rPr>
          <w:rFonts w:eastAsia="黑体"/>
          <w:bCs/>
          <w:sz w:val="32"/>
          <w:szCs w:val="32"/>
        </w:rPr>
        <w:t>24.项目支出：</w:t>
      </w:r>
      <w:r>
        <w:rPr>
          <w:rFonts w:eastAsia="仿宋_GB2312"/>
          <w:sz w:val="32"/>
          <w:szCs w:val="32"/>
        </w:rPr>
        <w:t>指在基本支出之外为完成特定行政任务和事业发展目标所发生的支出。</w:t>
      </w:r>
    </w:p>
    <w:p>
      <w:pPr>
        <w:snapToGrid w:val="0"/>
        <w:spacing w:line="576" w:lineRule="exact"/>
        <w:ind w:firstLine="640" w:firstLineChars="200"/>
        <w:rPr>
          <w:rFonts w:eastAsia="仿宋_GB2312"/>
          <w:sz w:val="32"/>
          <w:szCs w:val="32"/>
        </w:rPr>
      </w:pPr>
      <w:r>
        <w:rPr>
          <w:rFonts w:eastAsia="黑体"/>
          <w:bCs/>
          <w:sz w:val="32"/>
          <w:szCs w:val="32"/>
        </w:rPr>
        <w:t>25.经营支出：</w:t>
      </w:r>
      <w:r>
        <w:rPr>
          <w:rFonts w:eastAsia="仿宋_GB2312"/>
          <w:sz w:val="32"/>
          <w:szCs w:val="32"/>
        </w:rPr>
        <w:t>指事业单位在专业业务活动及其辅助活动之外开展非独立核算经营活动发生的支出。</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26.“三公”经费：</w:t>
      </w:r>
      <w:r>
        <w:rPr>
          <w:rFonts w:ascii="Times New Roman" w:hAnsi="Times New Roman" w:eastAsia="仿宋_GB2312" w:cs="Times New Roman"/>
          <w:color w:val="auto"/>
          <w:sz w:val="32"/>
          <w:szCs w:val="32"/>
        </w:rPr>
        <w:t>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napToGrid w:val="0"/>
        <w:spacing w:line="576"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bCs/>
          <w:color w:val="auto"/>
          <w:kern w:val="2"/>
          <w:sz w:val="32"/>
          <w:szCs w:val="32"/>
        </w:rPr>
        <w:t>27.机关运行经费：</w:t>
      </w:r>
      <w:r>
        <w:rPr>
          <w:rFonts w:ascii="Times New Roman" w:hAnsi="Times New Roman" w:eastAsia="仿宋_GB2312" w:cs="Times New Roman"/>
          <w:color w:val="auto"/>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snapToGrid w:val="0"/>
        <w:spacing w:line="576" w:lineRule="exact"/>
        <w:ind w:firstLine="880" w:firstLineChars="200"/>
        <w:jc w:val="center"/>
        <w:rPr>
          <w:rFonts w:eastAsia="仿宋_GB2312"/>
          <w:sz w:val="44"/>
          <w:szCs w:val="44"/>
        </w:rPr>
      </w:pPr>
      <w:bookmarkStart w:id="70" w:name="_Toc15396614"/>
      <w:bookmarkStart w:id="71" w:name="_Toc15377226"/>
    </w:p>
    <w:p>
      <w:pPr>
        <w:snapToGrid w:val="0"/>
        <w:spacing w:line="576" w:lineRule="exact"/>
        <w:ind w:firstLine="880" w:firstLineChars="200"/>
        <w:jc w:val="center"/>
        <w:rPr>
          <w:rFonts w:eastAsia="仿宋_GB2312"/>
          <w:sz w:val="44"/>
          <w:szCs w:val="44"/>
        </w:rPr>
      </w:pPr>
    </w:p>
    <w:p>
      <w:pPr>
        <w:snapToGrid w:val="0"/>
        <w:spacing w:line="576" w:lineRule="exact"/>
        <w:ind w:firstLine="880" w:firstLineChars="200"/>
        <w:jc w:val="center"/>
        <w:rPr>
          <w:rFonts w:eastAsia="仿宋_GB2312"/>
          <w:sz w:val="44"/>
          <w:szCs w:val="44"/>
        </w:rPr>
      </w:pPr>
    </w:p>
    <w:p>
      <w:pPr>
        <w:snapToGrid w:val="0"/>
        <w:spacing w:line="576" w:lineRule="exact"/>
        <w:ind w:firstLine="880" w:firstLineChars="200"/>
        <w:jc w:val="center"/>
        <w:rPr>
          <w:rFonts w:eastAsia="仿宋_GB2312"/>
          <w:sz w:val="44"/>
          <w:szCs w:val="44"/>
        </w:rPr>
      </w:pPr>
    </w:p>
    <w:p>
      <w:pPr>
        <w:snapToGrid w:val="0"/>
        <w:spacing w:line="576" w:lineRule="exact"/>
        <w:ind w:firstLine="880" w:firstLineChars="200"/>
        <w:jc w:val="center"/>
        <w:rPr>
          <w:rFonts w:eastAsia="仿宋_GB2312"/>
          <w:sz w:val="44"/>
          <w:szCs w:val="44"/>
        </w:rPr>
      </w:pPr>
    </w:p>
    <w:p>
      <w:pPr>
        <w:pStyle w:val="7"/>
        <w:spacing w:before="93"/>
        <w:rPr>
          <w:rFonts w:ascii="Times New Roman"/>
          <w:sz w:val="44"/>
          <w:szCs w:val="44"/>
        </w:rPr>
      </w:pPr>
    </w:p>
    <w:p>
      <w:pPr>
        <w:pStyle w:val="7"/>
        <w:spacing w:before="93"/>
        <w:rPr>
          <w:rFonts w:ascii="Times New Roman"/>
          <w:sz w:val="44"/>
          <w:szCs w:val="44"/>
        </w:rPr>
      </w:pPr>
    </w:p>
    <w:p>
      <w:pPr>
        <w:snapToGrid w:val="0"/>
        <w:spacing w:line="576" w:lineRule="exact"/>
        <w:ind w:firstLine="880" w:firstLineChars="200"/>
        <w:jc w:val="center"/>
        <w:rPr>
          <w:rFonts w:eastAsia="仿宋_GB2312"/>
          <w:sz w:val="44"/>
          <w:szCs w:val="44"/>
        </w:rPr>
      </w:pPr>
    </w:p>
    <w:p>
      <w:pPr>
        <w:pStyle w:val="3"/>
        <w:snapToGrid w:val="0"/>
        <w:spacing w:beforeLines="50" w:afterLines="50" w:line="576" w:lineRule="exact"/>
        <w:jc w:val="center"/>
        <w:rPr>
          <w:rFonts w:ascii="方正小标宋简体" w:hAnsi="方正小标宋简体" w:eastAsia="方正小标宋简体" w:cs="方正小标宋简体"/>
          <w:b w:val="0"/>
          <w:highlight w:val="none"/>
        </w:rPr>
      </w:pPr>
      <w:bookmarkStart w:id="72" w:name="_Toc15353"/>
      <w:r>
        <w:rPr>
          <w:rFonts w:ascii="方正小标宋简体" w:hAnsi="方正小标宋简体" w:eastAsia="方正小标宋简体" w:cs="方正小标宋简体"/>
          <w:b w:val="0"/>
          <w:highlight w:val="none"/>
        </w:rPr>
        <w:t>第四部分</w:t>
      </w:r>
      <w:r>
        <w:rPr>
          <w:rFonts w:hint="eastAsia" w:ascii="方正小标宋简体" w:hAnsi="方正小标宋简体" w:eastAsia="方正小标宋简体" w:cs="方正小标宋简体"/>
          <w:b w:val="0"/>
          <w:highlight w:val="none"/>
        </w:rPr>
        <w:t xml:space="preserve">  </w:t>
      </w:r>
      <w:r>
        <w:rPr>
          <w:rFonts w:ascii="方正小标宋简体" w:hAnsi="方正小标宋简体" w:eastAsia="方正小标宋简体" w:cs="方正小标宋简体"/>
          <w:b w:val="0"/>
          <w:highlight w:val="none"/>
        </w:rPr>
        <w:t>附件</w:t>
      </w:r>
      <w:bookmarkEnd w:id="70"/>
      <w:bookmarkEnd w:id="72"/>
    </w:p>
    <w:p>
      <w:pPr>
        <w:pStyle w:val="3"/>
        <w:snapToGrid w:val="0"/>
        <w:spacing w:beforeLines="50" w:afterLines="50" w:line="576" w:lineRule="exact"/>
        <w:jc w:val="center"/>
        <w:rPr>
          <w:rFonts w:hint="eastAsia" w:eastAsia="仿宋_GB2312"/>
          <w:sz w:val="32"/>
          <w:szCs w:val="32"/>
          <w:highlight w:val="none"/>
          <w:lang w:val="en-US" w:eastAsia="zh-CN"/>
        </w:rPr>
      </w:pPr>
      <w:r>
        <w:rPr>
          <w:rFonts w:hint="eastAsia" w:eastAsia="仿宋_GB2312"/>
          <w:sz w:val="32"/>
          <w:szCs w:val="32"/>
          <w:highlight w:val="none"/>
          <w:lang w:val="en-US" w:eastAsia="zh-CN"/>
        </w:rPr>
        <w:t xml:space="preserve">  </w:t>
      </w:r>
    </w:p>
    <w:p>
      <w:pPr>
        <w:spacing w:line="580" w:lineRule="exact"/>
        <w:jc w:val="center"/>
        <w:rPr>
          <w:rFonts w:hint="default" w:ascii="Times New Roman" w:hAnsi="Times New Roman" w:eastAsia="方正小标宋简体" w:cs="Times New Roman"/>
          <w:spacing w:val="-6"/>
          <w:sz w:val="44"/>
          <w:szCs w:val="44"/>
          <w:lang w:eastAsia="zh-CN"/>
        </w:rPr>
      </w:pPr>
      <w:r>
        <w:rPr>
          <w:rFonts w:hint="default" w:ascii="Times New Roman" w:hAnsi="Times New Roman" w:eastAsia="方正小标宋简体" w:cs="Times New Roman"/>
          <w:spacing w:val="-6"/>
          <w:sz w:val="44"/>
          <w:szCs w:val="44"/>
          <w:lang w:eastAsia="zh-CN"/>
        </w:rPr>
        <w:t>广元市昭化区卫子镇人民政府</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pacing w:val="-6"/>
          <w:sz w:val="44"/>
          <w:szCs w:val="44"/>
          <w:lang w:eastAsia="zh-CN"/>
        </w:rPr>
        <w:t>关于</w:t>
      </w:r>
      <w:r>
        <w:rPr>
          <w:rFonts w:hint="eastAsia" w:eastAsia="方正小标宋简体" w:cs="Times New Roman"/>
          <w:spacing w:val="-6"/>
          <w:sz w:val="44"/>
          <w:szCs w:val="44"/>
          <w:lang w:val="en-US" w:eastAsia="zh-CN"/>
        </w:rPr>
        <w:t>2022年</w:t>
      </w:r>
      <w:r>
        <w:rPr>
          <w:rFonts w:hint="default" w:ascii="Times New Roman" w:hAnsi="Times New Roman" w:eastAsia="方正小标宋简体" w:cs="Times New Roman"/>
          <w:spacing w:val="-6"/>
          <w:sz w:val="44"/>
          <w:szCs w:val="44"/>
          <w:lang w:eastAsia="zh-CN"/>
        </w:rPr>
        <w:t>部门整体支出绩效自评报告</w:t>
      </w:r>
    </w:p>
    <w:p>
      <w:pPr>
        <w:spacing w:line="580" w:lineRule="exact"/>
        <w:ind w:firstLine="420" w:firstLineChars="200"/>
        <w:rPr>
          <w:rFonts w:hint="default" w:ascii="Times New Roman" w:hAnsi="Times New Roman" w:eastAsia="黑体" w:cs="Times New Roman"/>
        </w:rPr>
      </w:pPr>
    </w:p>
    <w:p>
      <w:pPr>
        <w:pStyle w:val="4"/>
        <w:snapToGrid w:val="0"/>
        <w:spacing w:before="0" w:after="0" w:line="576" w:lineRule="exact"/>
        <w:ind w:firstLine="642" w:firstLineChars="200"/>
        <w:rPr>
          <w:rFonts w:hint="default" w:ascii="Times New Roman" w:hAnsi="Times New Roman" w:eastAsia="黑体" w:cs="Times New Roman"/>
        </w:rPr>
      </w:pPr>
      <w:r>
        <w:rPr>
          <w:rFonts w:hint="default" w:ascii="Times New Roman" w:hAnsi="Times New Roman" w:eastAsia="黑体" w:cs="Times New Roman"/>
        </w:rPr>
        <w:t>一、部门（单位）</w:t>
      </w:r>
      <w:r>
        <w:rPr>
          <w:rFonts w:hint="eastAsia" w:ascii="Times New Roman" w:hAnsi="Times New Roman" w:eastAsia="黑体" w:cs="Times New Roman"/>
          <w:lang w:eastAsia="zh-CN"/>
        </w:rPr>
        <w:t>基本</w:t>
      </w:r>
      <w:r>
        <w:rPr>
          <w:rFonts w:hint="default" w:ascii="Times New Roman" w:hAnsi="Times New Roman" w:eastAsia="黑体" w:cs="Times New Roman"/>
        </w:rPr>
        <w:t>概况</w:t>
      </w:r>
    </w:p>
    <w:p>
      <w:pPr>
        <w:autoSpaceDE w:val="0"/>
        <w:autoSpaceDN w:val="0"/>
        <w:adjustRightInd w:val="0"/>
        <w:snapToGrid w:val="0"/>
        <w:spacing w:line="576" w:lineRule="exact"/>
        <w:ind w:firstLine="642" w:firstLineChars="200"/>
        <w:jc w:val="left"/>
        <w:outlineLvl w:val="2"/>
        <w:rPr>
          <w:rFonts w:hint="eastAsia" w:eastAsia="仿宋_GB2312"/>
          <w:b/>
          <w:sz w:val="32"/>
          <w:szCs w:val="32"/>
          <w:highlight w:val="none"/>
          <w:lang w:eastAsia="zh-CN"/>
        </w:rPr>
      </w:pPr>
      <w:r>
        <w:rPr>
          <w:rFonts w:hint="default" w:eastAsia="仿宋_GB2312"/>
          <w:b/>
          <w:sz w:val="32"/>
          <w:szCs w:val="32"/>
          <w:highlight w:val="none"/>
        </w:rPr>
        <w:t>（</w:t>
      </w:r>
      <w:r>
        <w:rPr>
          <w:rFonts w:hint="default" w:eastAsia="仿宋_GB2312"/>
          <w:b/>
          <w:sz w:val="32"/>
          <w:szCs w:val="32"/>
          <w:highlight w:val="none"/>
          <w:lang w:eastAsia="zh-CN"/>
        </w:rPr>
        <w:t>一</w:t>
      </w:r>
      <w:r>
        <w:rPr>
          <w:rFonts w:hint="default" w:eastAsia="仿宋_GB2312"/>
          <w:b/>
          <w:sz w:val="32"/>
          <w:szCs w:val="32"/>
          <w:highlight w:val="none"/>
        </w:rPr>
        <w:t>）机构</w:t>
      </w:r>
      <w:r>
        <w:rPr>
          <w:rFonts w:hint="eastAsia" w:eastAsia="仿宋_GB2312"/>
          <w:b/>
          <w:sz w:val="32"/>
          <w:szCs w:val="32"/>
          <w:highlight w:val="none"/>
          <w:lang w:eastAsia="zh-CN"/>
        </w:rPr>
        <w:t>组成</w:t>
      </w:r>
    </w:p>
    <w:p>
      <w:pPr>
        <w:pStyle w:val="14"/>
        <w:ind w:firstLine="736" w:firstLineChars="230"/>
        <w:jc w:val="left"/>
        <w:rPr>
          <w:rFonts w:hint="eastAsia"/>
          <w:lang w:eastAsia="zh-CN"/>
        </w:rPr>
      </w:pPr>
      <w:r>
        <w:rPr>
          <w:rFonts w:hint="eastAsia" w:ascii="仿宋" w:hAnsi="仿宋" w:eastAsia="仿宋" w:cs="仿宋"/>
          <w:sz w:val="32"/>
          <w:szCs w:val="32"/>
          <w:lang w:eastAsia="zh-CN"/>
        </w:rPr>
        <w:t>卫子镇</w:t>
      </w:r>
      <w:r>
        <w:rPr>
          <w:rFonts w:hint="eastAsia" w:ascii="仿宋" w:hAnsi="仿宋" w:eastAsia="仿宋" w:cs="仿宋"/>
          <w:sz w:val="32"/>
          <w:szCs w:val="32"/>
        </w:rPr>
        <w:t>人民政府属一级预算单位，主要包括：党政综合与乡村振兴办公室、党建工作办公室、综合行政执法办公室、社会事务办公室、经济发展办公室、社会治理工作办公室、财政所、产业融合办公室、便民服务中心、农业综合服务中心、乡村建设和文化旅游服务中心、农民工服务中心、项目投资促进中心</w:t>
      </w:r>
      <w:r>
        <w:rPr>
          <w:rFonts w:hint="eastAsia" w:ascii="仿宋" w:hAnsi="仿宋" w:eastAsia="仿宋" w:cs="仿宋"/>
          <w:sz w:val="32"/>
          <w:szCs w:val="32"/>
          <w:lang w:eastAsia="zh-CN"/>
        </w:rPr>
        <w:t>、工会</w:t>
      </w:r>
      <w:r>
        <w:rPr>
          <w:rFonts w:hint="eastAsia" w:ascii="仿宋_GB2312" w:hAnsi="Times New Roman" w:eastAsia="仿宋_GB2312" w:cs="仿宋_GB2312"/>
          <w:color w:val="333333"/>
          <w:kern w:val="0"/>
          <w:sz w:val="32"/>
          <w:szCs w:val="32"/>
          <w:shd w:val="clear" w:color="auto" w:fill="FFFFFF"/>
        </w:rPr>
        <w:t>。</w:t>
      </w:r>
    </w:p>
    <w:p>
      <w:pPr>
        <w:autoSpaceDE w:val="0"/>
        <w:autoSpaceDN w:val="0"/>
        <w:adjustRightInd w:val="0"/>
        <w:snapToGrid w:val="0"/>
        <w:spacing w:line="576" w:lineRule="exact"/>
        <w:ind w:firstLine="642" w:firstLineChars="200"/>
        <w:jc w:val="left"/>
        <w:outlineLvl w:val="2"/>
        <w:rPr>
          <w:rFonts w:hint="eastAsia" w:eastAsia="仿宋_GB2312"/>
          <w:b/>
          <w:sz w:val="32"/>
          <w:szCs w:val="32"/>
          <w:highlight w:val="none"/>
          <w:lang w:eastAsia="zh-CN"/>
        </w:rPr>
      </w:pPr>
      <w:r>
        <w:rPr>
          <w:rFonts w:hint="eastAsia" w:eastAsia="仿宋_GB2312"/>
          <w:b/>
          <w:sz w:val="32"/>
          <w:szCs w:val="32"/>
          <w:highlight w:val="none"/>
          <w:lang w:val="en-US" w:eastAsia="zh-CN"/>
        </w:rPr>
        <w:t>(二）</w:t>
      </w:r>
      <w:r>
        <w:rPr>
          <w:rFonts w:hint="default" w:eastAsia="仿宋_GB2312"/>
          <w:b/>
          <w:sz w:val="32"/>
          <w:szCs w:val="32"/>
          <w:highlight w:val="none"/>
        </w:rPr>
        <w:t>机构</w:t>
      </w:r>
      <w:r>
        <w:rPr>
          <w:rFonts w:hint="eastAsia" w:eastAsia="仿宋_GB2312"/>
          <w:b/>
          <w:sz w:val="32"/>
          <w:szCs w:val="32"/>
          <w:highlight w:val="none"/>
          <w:lang w:eastAsia="zh-CN"/>
        </w:rPr>
        <w:t>职能和人员概况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lang w:eastAsia="zh-CN"/>
        </w:rPr>
      </w:pPr>
      <w:r>
        <w:rPr>
          <w:rFonts w:hint="eastAsia" w:ascii="仿宋_GB2312" w:hAnsi="Calibri" w:eastAsia="仿宋_GB2312" w:cs="仿宋"/>
          <w:color w:val="auto"/>
          <w:kern w:val="0"/>
          <w:sz w:val="32"/>
          <w:szCs w:val="32"/>
          <w:highlight w:val="none"/>
          <w:lang w:val="en-US" w:eastAsia="zh-CN" w:bidi="ar-SA"/>
        </w:rPr>
        <w:t>一、机构职能</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pPr>
      <w:r>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t>落实国家政策，严格依法行政，发挥经济管理职能，加强政策引导，制定发展规划，服务市场主体和营造发展环境，搞好市场监管，大力促进社会事业发展，发展乡村经济、文化和社会事业，提供公共服务，维护社会稳定，构建社会主义和谐社会。 </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39" w:firstLineChars="231"/>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pPr>
      <w:r>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t>1、 贯彻执行党的路线、方针、政策和国家法律法规，贯彻执行上级行政机关的决议、命令及同级党委的决定，执行乡人民代表大会的决议。</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39" w:firstLineChars="231"/>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pPr>
      <w:r>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t>2、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39" w:firstLineChars="231"/>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pPr>
      <w:r>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t>3、制定并组织实施村镇建设规划，部署重点工程建设，地方道路建设及公共设施，水利设施的管理，负责土地、林木、水等自然资源和生态环境的保护，做好护林防火工作；</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39" w:firstLineChars="231"/>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pPr>
      <w:r>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t>4、负责本行政区域内的民政、计划生育、文化教育、卫生、体育等社会公益事业的综合性工作，维护一切经济单位和个人的正当经济权益，取缔非法经济活动，调解和处理民事纠纷，打击刑事犯罪维护社会稳定； </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39" w:firstLineChars="231"/>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pPr>
      <w:r>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t>5、按计划组织本级财政收入和地方税的征收，完成国家财政计划，不断培植税源，管好财政资金，增强财政实力；</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39" w:firstLineChars="231"/>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pPr>
      <w:r>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t>6、抓好精神文明建设，丰富群众文化生活，提倡移风易俗，反对封建迷信，破除陈规陋习，树立社会主义新风尚；</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39" w:firstLineChars="231"/>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pPr>
      <w:r>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t>7、指导、支持和帮助村民委员会工作</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39" w:firstLineChars="231"/>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pPr>
      <w:r>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t>8、完成上级交办的其它事项。</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二、人员概况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Times New Roman" w:eastAsia="仿宋_GB2312" w:cs="仿宋_GB2312"/>
          <w:color w:val="333333"/>
          <w:kern w:val="0"/>
          <w:sz w:val="32"/>
          <w:szCs w:val="32"/>
          <w:u w:val="none" w:color="000000"/>
          <w:shd w:val="clear" w:color="auto" w:fill="FFFFFF"/>
          <w:vertAlign w:val="baseline"/>
          <w:lang w:val="en-US" w:eastAsia="zh-CN" w:bidi="ar-SA"/>
        </w:rPr>
      </w:pPr>
      <w:r>
        <w:rPr>
          <w:rFonts w:hint="eastAsia" w:ascii="仿宋_GB2312" w:hAnsi="Calibri" w:eastAsia="仿宋_GB2312" w:cs="仿宋"/>
          <w:color w:val="auto"/>
          <w:kern w:val="0"/>
          <w:sz w:val="32"/>
          <w:szCs w:val="32"/>
          <w:highlight w:val="none"/>
          <w:lang w:val="en-US" w:eastAsia="zh-CN" w:bidi="ar-SA"/>
        </w:rPr>
        <w:t>卫子镇属一级预算单位，共有在编人数74人，其中：行政编制30人，事业编制41人，工勤编制3人。2022年卫子镇预算实有在职编制内人员71人，按财政供给率分，均为财政全额供给；2022年其他人员70人，其中：遗属人员18人，三支一扶2人，临时炊事员1名；2022年退休人员49人，其中：行政人员27人，事业人员22人。</w:t>
      </w:r>
    </w:p>
    <w:p>
      <w:pPr>
        <w:autoSpaceDE w:val="0"/>
        <w:autoSpaceDN w:val="0"/>
        <w:adjustRightInd w:val="0"/>
        <w:snapToGrid w:val="0"/>
        <w:spacing w:line="576" w:lineRule="exact"/>
        <w:ind w:firstLine="642" w:firstLineChars="200"/>
        <w:jc w:val="left"/>
        <w:outlineLvl w:val="2"/>
        <w:rPr>
          <w:rFonts w:hint="eastAsia" w:eastAsia="仿宋_GB2312"/>
          <w:b/>
          <w:sz w:val="32"/>
          <w:szCs w:val="32"/>
          <w:highlight w:val="none"/>
          <w:lang w:eastAsia="zh-CN"/>
        </w:rPr>
      </w:pPr>
      <w:r>
        <w:rPr>
          <w:rFonts w:hint="default" w:eastAsia="仿宋_GB2312"/>
          <w:b/>
          <w:sz w:val="32"/>
          <w:szCs w:val="32"/>
          <w:highlight w:val="none"/>
        </w:rPr>
        <w:t>（</w:t>
      </w:r>
      <w:r>
        <w:rPr>
          <w:rFonts w:hint="eastAsia" w:eastAsia="仿宋_GB2312"/>
          <w:b/>
          <w:sz w:val="32"/>
          <w:szCs w:val="32"/>
          <w:highlight w:val="none"/>
          <w:lang w:eastAsia="zh-CN"/>
        </w:rPr>
        <w:t>三</w:t>
      </w:r>
      <w:r>
        <w:rPr>
          <w:rFonts w:hint="default" w:eastAsia="仿宋_GB2312"/>
          <w:b/>
          <w:sz w:val="32"/>
          <w:szCs w:val="32"/>
          <w:highlight w:val="none"/>
        </w:rPr>
        <w:t>）</w:t>
      </w:r>
      <w:r>
        <w:rPr>
          <w:rFonts w:hint="eastAsia" w:eastAsia="仿宋_GB2312"/>
          <w:b/>
          <w:sz w:val="32"/>
          <w:szCs w:val="32"/>
          <w:highlight w:val="none"/>
          <w:lang w:eastAsia="zh-CN"/>
        </w:rPr>
        <w:t>年度主要工作任务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val="en-US" w:eastAsia="zh-CN"/>
        </w:rPr>
        <w:t>1.</w:t>
      </w:r>
      <w:r>
        <w:rPr>
          <w:rFonts w:hint="eastAsia" w:ascii="楷体_GB2312" w:hAnsi="楷体_GB2312" w:eastAsia="楷体_GB2312" w:cs="楷体_GB2312"/>
          <w:b w:val="0"/>
          <w:bCs w:val="0"/>
          <w:color w:val="auto"/>
          <w:sz w:val="32"/>
          <w:szCs w:val="32"/>
        </w:rPr>
        <w:t>基础配套更加完善。</w:t>
      </w:r>
      <w:r>
        <w:rPr>
          <w:rFonts w:hint="eastAsia" w:ascii="Times New Roman" w:hAnsi="Times New Roman" w:eastAsia="仿宋_GB2312" w:cs="仿宋_GB2312"/>
          <w:b w:val="0"/>
          <w:bCs w:val="0"/>
          <w:color w:val="auto"/>
          <w:sz w:val="32"/>
          <w:szCs w:val="32"/>
        </w:rPr>
        <w:t>紧扣“一园一核三区”布局，完成园区建设投资8000余万元，加快水网、路网、林网、田网等基础配套，贡米主题公园水系统配套一期建成渠系15.4公里，整治标改山坪塘27口，新荣水库整治工程全面完工，高标准建设21公里园区道路，完成5000余亩贡米园区田网提升项目，园区项目建设进度在80%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Style w:val="40"/>
          <w:rFonts w:hint="eastAsia" w:ascii="Times New Roman" w:hAnsi="Times New Roman" w:eastAsia="仿宋" w:cs="仿宋"/>
          <w:b w:val="0"/>
          <w:bCs w:val="0"/>
          <w:color w:val="auto"/>
          <w:sz w:val="32"/>
          <w:szCs w:val="32"/>
        </w:rPr>
      </w:pPr>
      <w:r>
        <w:rPr>
          <w:rFonts w:hint="eastAsia" w:ascii="楷体_GB2312" w:hAnsi="楷体_GB2312" w:eastAsia="楷体_GB2312" w:cs="楷体_GB2312"/>
          <w:b w:val="0"/>
          <w:bCs w:val="0"/>
          <w:color w:val="auto"/>
          <w:sz w:val="32"/>
          <w:szCs w:val="32"/>
          <w:lang w:val="en-US" w:eastAsia="zh-CN"/>
        </w:rPr>
        <w:t>2.</w:t>
      </w:r>
      <w:r>
        <w:rPr>
          <w:rFonts w:hint="eastAsia" w:ascii="楷体_GB2312" w:hAnsi="楷体_GB2312" w:eastAsia="楷体_GB2312" w:cs="楷体_GB2312"/>
          <w:b w:val="0"/>
          <w:bCs w:val="0"/>
          <w:color w:val="auto"/>
          <w:sz w:val="32"/>
          <w:szCs w:val="32"/>
        </w:rPr>
        <w:t>业态培育更加丰富。</w:t>
      </w:r>
      <w:r>
        <w:rPr>
          <w:rFonts w:hint="eastAsia" w:ascii="Times New Roman" w:hAnsi="Times New Roman" w:eastAsia="仿宋_GB2312" w:cs="Times New Roman"/>
          <w:b w:val="0"/>
          <w:bCs w:val="0"/>
          <w:color w:val="auto"/>
          <w:sz w:val="32"/>
          <w:szCs w:val="32"/>
        </w:rPr>
        <w:t>王家贡米博物馆、</w:t>
      </w:r>
      <w:r>
        <w:rPr>
          <w:rFonts w:hint="eastAsia" w:ascii="Times New Roman" w:hAnsi="Times New Roman" w:eastAsia="仿宋_GB2312"/>
          <w:b w:val="0"/>
          <w:bCs w:val="0"/>
          <w:color w:val="auto"/>
          <w:sz w:val="32"/>
          <w:szCs w:val="32"/>
        </w:rPr>
        <w:t>研学体验园等基本建成，</w:t>
      </w:r>
      <w:r>
        <w:rPr>
          <w:rFonts w:hint="eastAsia" w:ascii="Times New Roman" w:hAnsi="Times New Roman" w:eastAsia="仿宋_GB2312" w:cs="Times New Roman"/>
          <w:b w:val="0"/>
          <w:bCs w:val="0"/>
          <w:color w:val="auto"/>
          <w:sz w:val="32"/>
          <w:szCs w:val="32"/>
        </w:rPr>
        <w:t>与康辉国际旅行社签订研学基地运营合作协议，</w:t>
      </w:r>
      <w:r>
        <w:rPr>
          <w:rFonts w:hint="eastAsia" w:ascii="Times New Roman" w:hAnsi="Times New Roman" w:eastAsia="仿宋_GB2312" w:cs="Times New Roman"/>
          <w:b w:val="0"/>
          <w:bCs w:val="0"/>
          <w:color w:val="auto"/>
          <w:sz w:val="32"/>
          <w:szCs w:val="32"/>
          <w:lang w:val="zh-CN"/>
        </w:rPr>
        <w:t>预计年接待量超</w:t>
      </w:r>
      <w:r>
        <w:rPr>
          <w:rFonts w:hint="eastAsia" w:ascii="Times New Roman" w:hAnsi="Times New Roman" w:eastAsia="仿宋_GB2312" w:cs="Times New Roman"/>
          <w:b w:val="0"/>
          <w:bCs w:val="0"/>
          <w:color w:val="auto"/>
          <w:sz w:val="32"/>
          <w:szCs w:val="32"/>
        </w:rPr>
        <w:t>1万人次，带动群众增收2000元以上。同步开发</w:t>
      </w:r>
      <w:r>
        <w:rPr>
          <w:rFonts w:hint="eastAsia" w:ascii="Times New Roman" w:hAnsi="Times New Roman" w:eastAsia="仿宋_GB2312" w:cs="Times New Roman"/>
          <w:b w:val="0"/>
          <w:bCs w:val="0"/>
          <w:color w:val="auto"/>
          <w:sz w:val="32"/>
          <w:szCs w:val="32"/>
          <w:lang w:val="zh-CN"/>
        </w:rPr>
        <w:t>观光休闲、户外拓展、</w:t>
      </w:r>
      <w:r>
        <w:rPr>
          <w:rFonts w:hint="eastAsia" w:ascii="Times New Roman" w:hAnsi="Times New Roman" w:eastAsia="仿宋_GB2312" w:cs="Times New Roman"/>
          <w:b w:val="0"/>
          <w:bCs w:val="0"/>
          <w:color w:val="auto"/>
          <w:sz w:val="32"/>
          <w:szCs w:val="32"/>
        </w:rPr>
        <w:t>民宿酒店</w:t>
      </w:r>
      <w:r>
        <w:rPr>
          <w:rFonts w:hint="eastAsia" w:ascii="Times New Roman" w:hAnsi="Times New Roman" w:eastAsia="仿宋_GB2312" w:cs="Times New Roman"/>
          <w:b w:val="0"/>
          <w:bCs w:val="0"/>
          <w:color w:val="auto"/>
          <w:sz w:val="32"/>
          <w:szCs w:val="32"/>
          <w:lang w:val="zh-CN"/>
        </w:rPr>
        <w:t>等项目，</w:t>
      </w:r>
      <w:r>
        <w:rPr>
          <w:rFonts w:hint="eastAsia" w:ascii="Times New Roman" w:hAnsi="Times New Roman" w:eastAsia="仿宋_GB2312" w:cs="Times New Roman"/>
          <w:b w:val="0"/>
          <w:bCs w:val="0"/>
          <w:color w:val="auto"/>
          <w:sz w:val="32"/>
          <w:szCs w:val="32"/>
        </w:rPr>
        <w:t>打造亲子厨房300平方米，</w:t>
      </w:r>
      <w:r>
        <w:rPr>
          <w:rFonts w:hint="eastAsia" w:ascii="Times New Roman" w:hAnsi="Times New Roman" w:eastAsia="仿宋_GB2312" w:cs="仿宋_GB2312"/>
          <w:b w:val="0"/>
          <w:bCs w:val="0"/>
          <w:color w:val="auto"/>
          <w:sz w:val="32"/>
          <w:szCs w:val="32"/>
        </w:rPr>
        <w:t>发展培育西塘小院等三家星级农庄，仅开业3个月实现营业额超16万元，其中瘦竹斋入选第六批市级休闲农庄，</w:t>
      </w:r>
      <w:r>
        <w:rPr>
          <w:rStyle w:val="40"/>
          <w:rFonts w:hint="eastAsia" w:ascii="Times New Roman" w:hAnsi="Times New Roman" w:eastAsia="仿宋" w:cs="仿宋"/>
          <w:b w:val="0"/>
          <w:bCs w:val="0"/>
          <w:color w:val="auto"/>
          <w:sz w:val="32"/>
          <w:szCs w:val="32"/>
        </w:rPr>
        <w:t>新荣村入选第六批市级美丽休闲乡村。</w:t>
      </w:r>
      <w:r>
        <w:rPr>
          <w:rFonts w:hint="eastAsia" w:ascii="Times New Roman" w:hAnsi="Times New Roman" w:eastAsia="仿宋_GB2312"/>
          <w:b w:val="0"/>
          <w:bCs w:val="0"/>
          <w:color w:val="auto"/>
          <w:sz w:val="32"/>
          <w:szCs w:val="32"/>
        </w:rPr>
        <w:t>竹林风景线建设与柏林湖大景区紧密衔接，全镇农业生态旅游实现从无到有的“0”突破。</w:t>
      </w:r>
      <w:r>
        <w:rPr>
          <w:rStyle w:val="40"/>
          <w:rFonts w:hint="eastAsia" w:ascii="Times New Roman" w:hAnsi="Times New Roman" w:eastAsia="仿宋" w:cs="仿宋"/>
          <w:b w:val="0"/>
          <w:bCs w:val="0"/>
          <w:color w:val="auto"/>
          <w:sz w:val="32"/>
          <w:szCs w:val="32"/>
        </w:rPr>
        <w:t>2022年“中国农民丰收节”广元市庆丰收活动暨昭化区第五届“王家贡米节”在园区举行。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b w:val="0"/>
          <w:bCs w:val="0"/>
          <w:color w:val="auto"/>
          <w:lang w:val="en-US" w:eastAsia="zh-CN"/>
        </w:rPr>
      </w:pPr>
      <w:r>
        <w:rPr>
          <w:rFonts w:hint="eastAsia" w:ascii="楷体_GB2312" w:hAnsi="楷体_GB2312" w:eastAsia="楷体_GB2312" w:cs="楷体_GB2312"/>
          <w:b w:val="0"/>
          <w:bCs w:val="0"/>
          <w:color w:val="auto"/>
          <w:sz w:val="32"/>
          <w:szCs w:val="32"/>
          <w:lang w:val="en-US" w:eastAsia="zh-CN"/>
        </w:rPr>
        <w:t>3.</w:t>
      </w:r>
      <w:r>
        <w:rPr>
          <w:rFonts w:hint="eastAsia" w:ascii="楷体_GB2312" w:hAnsi="楷体_GB2312" w:eastAsia="楷体_GB2312" w:cs="楷体_GB2312"/>
          <w:b w:val="0"/>
          <w:bCs w:val="0"/>
          <w:color w:val="auto"/>
          <w:sz w:val="32"/>
          <w:szCs w:val="32"/>
        </w:rPr>
        <w:t>服务保障更加优化。</w:t>
      </w:r>
      <w:r>
        <w:rPr>
          <w:rFonts w:hint="eastAsia" w:ascii="Times New Roman" w:hAnsi="Times New Roman" w:eastAsia="仿宋_GB2312" w:cs="仿宋_GB2312"/>
          <w:b w:val="0"/>
          <w:bCs w:val="0"/>
          <w:color w:val="auto"/>
          <w:sz w:val="32"/>
          <w:szCs w:val="32"/>
        </w:rPr>
        <w:t>着力构建“镇建站+村建经营主体”的</w:t>
      </w:r>
      <w:r>
        <w:rPr>
          <w:rFonts w:hint="eastAsia" w:ascii="Times New Roman" w:hAnsi="Times New Roman" w:eastAsia="仿宋_GB2312" w:cs="仿宋_GB2312"/>
          <w:b w:val="0"/>
          <w:bCs w:val="0"/>
          <w:color w:val="auto"/>
          <w:sz w:val="32"/>
          <w:szCs w:val="32"/>
          <w:lang w:val="en-US" w:eastAsia="zh-CN"/>
        </w:rPr>
        <w:t>现代化</w:t>
      </w:r>
      <w:r>
        <w:rPr>
          <w:rFonts w:hint="eastAsia" w:ascii="Times New Roman" w:hAnsi="Times New Roman" w:eastAsia="仿宋_GB2312" w:cs="仿宋_GB2312"/>
          <w:b w:val="0"/>
          <w:bCs w:val="0"/>
          <w:color w:val="auto"/>
          <w:sz w:val="32"/>
          <w:szCs w:val="32"/>
        </w:rPr>
        <w:t>农业社会化服务体系，探索建立“创新团队+基层农技推广体系+新型高素质农民培育”的新型农业科技服务模式，陈定全工作室与中国水稻研究所实现“院地”深度合作。组建卫鸣专业合作社，农业社会化服务中心</w:t>
      </w:r>
      <w:r>
        <w:rPr>
          <w:rFonts w:hint="eastAsia" w:ascii="Times New Roman" w:hAnsi="Times New Roman" w:eastAsia="仿宋_GB2312" w:cs="仿宋_GB2312"/>
          <w:b w:val="0"/>
          <w:bCs w:val="0"/>
          <w:color w:val="auto"/>
          <w:sz w:val="32"/>
          <w:szCs w:val="32"/>
          <w:lang w:val="en-US" w:eastAsia="zh-CN"/>
        </w:rPr>
        <w:t>投入</w:t>
      </w:r>
      <w:r>
        <w:rPr>
          <w:rFonts w:hint="eastAsia" w:ascii="Times New Roman" w:hAnsi="Times New Roman" w:eastAsia="仿宋_GB2312" w:cs="仿宋_GB2312"/>
          <w:b w:val="0"/>
          <w:bCs w:val="0"/>
          <w:color w:val="auto"/>
          <w:sz w:val="32"/>
          <w:szCs w:val="32"/>
        </w:rPr>
        <w:t>运行，实现</w:t>
      </w:r>
      <w:r>
        <w:rPr>
          <w:rFonts w:hint="eastAsia" w:ascii="Times New Roman" w:hAnsi="Times New Roman" w:eastAsia="仿宋_GB2312"/>
          <w:b w:val="0"/>
          <w:bCs w:val="0"/>
          <w:color w:val="auto"/>
          <w:sz w:val="32"/>
          <w:szCs w:val="32"/>
        </w:rPr>
        <w:t>“耕、种、收、植保”为一体的现代化农业服务，园区</w:t>
      </w:r>
      <w:r>
        <w:rPr>
          <w:rFonts w:hint="eastAsia" w:ascii="Times New Roman" w:hAnsi="Times New Roman" w:eastAsia="仿宋_GB2312" w:cs="仿宋_GB2312"/>
          <w:b w:val="0"/>
          <w:bCs w:val="0"/>
          <w:color w:val="auto"/>
          <w:sz w:val="32"/>
          <w:szCs w:val="32"/>
        </w:rPr>
        <w:t>覆盖面达90%以上。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b w:val="0"/>
          <w:bCs w:val="0"/>
          <w:color w:val="auto"/>
          <w:sz w:val="32"/>
          <w:szCs w:val="32"/>
        </w:rPr>
      </w:pPr>
      <w:r>
        <w:rPr>
          <w:rFonts w:hint="eastAsia" w:ascii="楷体_GB2312" w:hAnsi="楷体_GB2312" w:eastAsia="楷体_GB2312" w:cs="楷体_GB2312"/>
          <w:b w:val="0"/>
          <w:bCs w:val="0"/>
          <w:color w:val="auto"/>
          <w:sz w:val="32"/>
          <w:szCs w:val="32"/>
          <w:lang w:val="en-US" w:eastAsia="zh-CN"/>
        </w:rPr>
        <w:t>4.</w:t>
      </w:r>
      <w:r>
        <w:rPr>
          <w:rFonts w:hint="eastAsia" w:ascii="楷体_GB2312" w:hAnsi="楷体_GB2312" w:eastAsia="楷体_GB2312" w:cs="楷体_GB2312"/>
          <w:b w:val="0"/>
          <w:bCs w:val="0"/>
          <w:color w:val="auto"/>
          <w:sz w:val="32"/>
          <w:szCs w:val="32"/>
        </w:rPr>
        <w:t>巩固拓展脱贫攻坚成果同乡村振兴有效衔接成绩突出。</w:t>
      </w:r>
      <w:r>
        <w:rPr>
          <w:rFonts w:hint="eastAsia" w:ascii="Times New Roman" w:hAnsi="Times New Roman" w:eastAsia="仿宋_GB2312" w:cs="仿宋_GB2312"/>
          <w:b w:val="0"/>
          <w:bCs w:val="0"/>
          <w:color w:val="auto"/>
          <w:sz w:val="32"/>
          <w:szCs w:val="32"/>
        </w:rPr>
        <w:t>严格落实“1+35”衔接政策，高标准实施有效衔接项目25个，全覆盖开展防止返贫监测帮扶集中排查两轮，新增监测对象7户22人，制定“1+2+1”因户施策帮联措施，统筹防返贫阻击资金50余万元用于解决住房、医疗等问题，“两不愁三保障”成效全面巩固，高质量通过全省三方评估、乡村振兴实绩考核及全市交叉考评。全年新培育农民专业合作社4个、新型农业经营主体5个，安旭养殖成功创建广元市第七批家庭农场市级示范场。</w:t>
      </w:r>
      <w:r>
        <w:rPr>
          <w:rFonts w:hint="eastAsia" w:ascii="Times New Roman" w:hAnsi="Times New Roman" w:eastAsia="仿宋_GB2312"/>
          <w:b w:val="0"/>
          <w:bCs w:val="0"/>
          <w:color w:val="auto"/>
          <w:sz w:val="32"/>
          <w:szCs w:val="32"/>
        </w:rPr>
        <w:t>肖家寨村和卫子镇、新荣村分别通过2022年全省乡村振兴示范村和全市乡村振兴示范镇、村验收。肖家寨村被评为2021年度广元市乡村振兴先进示范村，新荣村被评为广元市第二批市级乡村文化振兴样板村。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val="en-US" w:eastAsia="zh-CN"/>
        </w:rPr>
        <w:t>5.</w:t>
      </w:r>
      <w:r>
        <w:rPr>
          <w:rFonts w:hint="eastAsia" w:ascii="楷体_GB2312" w:hAnsi="楷体_GB2312" w:eastAsia="楷体_GB2312" w:cs="楷体_GB2312"/>
          <w:b w:val="0"/>
          <w:bCs w:val="0"/>
          <w:color w:val="auto"/>
          <w:sz w:val="32"/>
          <w:szCs w:val="32"/>
        </w:rPr>
        <w:t>基础设施日臻夯实。</w:t>
      </w:r>
      <w:r>
        <w:rPr>
          <w:rFonts w:hint="eastAsia" w:ascii="Times New Roman" w:hAnsi="Times New Roman" w:eastAsia="仿宋_GB2312" w:cs="仿宋_GB2312"/>
          <w:b w:val="0"/>
          <w:bCs w:val="0"/>
          <w:color w:val="auto"/>
          <w:sz w:val="32"/>
          <w:szCs w:val="32"/>
        </w:rPr>
        <w:t>实施以工代赈项目24个，全年危房改造95户，完善功能配套465户、院坝入户路等基础配套351户。持续开展农村“厕所革命”整村推进示范村建设，全年实施832户厕所改造。统筹抓好农村生活垃圾治理、生活污水处理，全镇垃圾转运率达100%，集镇污水处理实现公司化运营。新建村道6.34公里，硬化加宽组道11.56公里，全镇村组道路硬化率均达100％，入户路硬化率达88％。新建小型集中供水工程15处，铺设各类管网4100余米，新建增、减压池35口。新建微水池73口，整治山坪塘62口，新建整治渠系22.4公里，累计增加、改善有效灌溉面积3954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b w:val="0"/>
          <w:bCs w:val="0"/>
          <w:color w:val="auto"/>
          <w:sz w:val="32"/>
          <w:szCs w:val="32"/>
          <w:lang w:eastAsia="zh-CN"/>
        </w:rPr>
      </w:pPr>
      <w:r>
        <w:rPr>
          <w:rFonts w:hint="eastAsia" w:ascii="楷体_GB2312" w:hAnsi="楷体_GB2312" w:eastAsia="楷体_GB2312" w:cs="楷体_GB2312"/>
          <w:b w:val="0"/>
          <w:bCs w:val="0"/>
          <w:color w:val="auto"/>
          <w:sz w:val="32"/>
          <w:szCs w:val="32"/>
          <w:lang w:val="en-US" w:eastAsia="zh-CN"/>
        </w:rPr>
        <w:t>6.</w:t>
      </w:r>
      <w:r>
        <w:rPr>
          <w:rFonts w:hint="eastAsia" w:ascii="楷体_GB2312" w:hAnsi="楷体_GB2312" w:eastAsia="楷体_GB2312" w:cs="楷体_GB2312"/>
          <w:b w:val="0"/>
          <w:bCs w:val="0"/>
          <w:color w:val="auto"/>
          <w:sz w:val="32"/>
          <w:szCs w:val="32"/>
        </w:rPr>
        <w:t>集体经济亮点纷呈。</w:t>
      </w:r>
      <w:r>
        <w:rPr>
          <w:rFonts w:hint="eastAsia" w:ascii="Times New Roman" w:hAnsi="Times New Roman" w:eastAsia="仿宋_GB2312" w:cs="仿宋_GB2312"/>
          <w:b w:val="0"/>
          <w:bCs w:val="0"/>
          <w:color w:val="auto"/>
          <w:sz w:val="32"/>
          <w:szCs w:val="32"/>
        </w:rPr>
        <w:t>狮子村建立“村集体经济公司+企业+养殖户”利益链接机制，集体经济净利润突破70万元，</w:t>
      </w:r>
      <w:r>
        <w:rPr>
          <w:rFonts w:hint="eastAsia" w:ascii="Times New Roman" w:hAnsi="Times New Roman" w:eastAsia="仿宋_GB2312" w:cs="仿宋_GB2312"/>
          <w:b w:val="0"/>
          <w:bCs w:val="0"/>
          <w:color w:val="auto"/>
          <w:sz w:val="32"/>
          <w:szCs w:val="32"/>
          <w:lang w:val="en-US" w:eastAsia="zh-CN"/>
        </w:rPr>
        <w:t>是去年同期的十倍</w:t>
      </w:r>
      <w:r>
        <w:rPr>
          <w:rFonts w:hint="eastAsia" w:ascii="Times New Roman" w:hAnsi="Times New Roman" w:eastAsia="仿宋_GB2312" w:cs="仿宋_GB2312"/>
          <w:b w:val="0"/>
          <w:bCs w:val="0"/>
          <w:color w:val="auto"/>
          <w:sz w:val="32"/>
          <w:szCs w:val="32"/>
        </w:rPr>
        <w:t>。穿心村发挥致富带头人作用，集体经济净利润达30万元，人均分红超60元，支部书记刘国强被评为四川首批农村致富带头人。金印社区探索集体经济新路径，整合资源成立鑫旺保洁服务公司，承担全镇垃圾收集转运，从根本上破解农村环境治理难题，预计2023年实现净利润15万元以上，成为全市农村社区发展集体经济的先例。</w:t>
      </w:r>
    </w:p>
    <w:p>
      <w:pPr>
        <w:autoSpaceDE w:val="0"/>
        <w:autoSpaceDN w:val="0"/>
        <w:adjustRightInd w:val="0"/>
        <w:snapToGrid w:val="0"/>
        <w:spacing w:line="576" w:lineRule="exact"/>
        <w:ind w:firstLine="642" w:firstLineChars="200"/>
        <w:jc w:val="left"/>
        <w:outlineLvl w:val="2"/>
        <w:rPr>
          <w:rFonts w:hint="eastAsia" w:eastAsia="仿宋_GB2312"/>
          <w:b/>
          <w:sz w:val="32"/>
          <w:szCs w:val="32"/>
          <w:highlight w:val="none"/>
          <w:lang w:eastAsia="zh-CN"/>
        </w:rPr>
      </w:pPr>
      <w:r>
        <w:rPr>
          <w:rFonts w:hint="eastAsia" w:eastAsia="仿宋_GB2312"/>
          <w:b/>
          <w:sz w:val="32"/>
          <w:szCs w:val="32"/>
          <w:highlight w:val="none"/>
          <w:lang w:val="en-US" w:eastAsia="zh-CN"/>
        </w:rPr>
        <w:t>(四）</w:t>
      </w:r>
      <w:r>
        <w:rPr>
          <w:rFonts w:hint="eastAsia" w:eastAsia="仿宋_GB2312"/>
          <w:b/>
          <w:sz w:val="32"/>
          <w:szCs w:val="32"/>
          <w:highlight w:val="none"/>
          <w:lang w:eastAsia="zh-CN"/>
        </w:rPr>
        <w:t>部门整体支出绩效目标</w:t>
      </w:r>
    </w:p>
    <w:p>
      <w:pPr>
        <w:pStyle w:val="9"/>
        <w:numPr>
          <w:ilvl w:val="0"/>
          <w:numId w:val="0"/>
        </w:numPr>
        <w:ind w:firstLine="640" w:firstLineChars="200"/>
        <w:rPr>
          <w:rFonts w:hint="eastAsia" w:ascii="Times New Roman" w:hAnsi="Times New Roman" w:eastAsia="仿宋_GB2312" w:cs="仿宋_GB2312"/>
          <w:b w:val="0"/>
          <w:bCs w:val="0"/>
          <w:color w:val="auto"/>
          <w:kern w:val="2"/>
          <w:sz w:val="32"/>
          <w:szCs w:val="32"/>
          <w:lang w:val="en-US" w:eastAsia="zh-CN" w:bidi="ar-SA"/>
        </w:rPr>
      </w:pPr>
      <w:r>
        <w:rPr>
          <w:rFonts w:hint="eastAsia" w:ascii="Times New Roman" w:hAnsi="Times New Roman" w:eastAsia="仿宋_GB2312" w:cs="仿宋_GB2312"/>
          <w:b w:val="0"/>
          <w:bCs w:val="0"/>
          <w:color w:val="auto"/>
          <w:kern w:val="2"/>
          <w:sz w:val="32"/>
          <w:szCs w:val="32"/>
          <w:lang w:val="en-US" w:eastAsia="zh-CN" w:bidi="ar-SA"/>
        </w:rPr>
        <w:t>一是着力完成区级各项目标任务；二是尽最大努力保障在职干部、临聘人员、退休干部、村（社区）干部的工资、保险、目标奖、生活补助和日常正常运转；三是认真做好基层组织活动和公共运行维护硬件建设工作；四是完成了区政府下达的烤烟生产任务，完成烤烟种植1000亩，同时做好烤烟生产前、中的相关服务发展工作；五是做好旅游文化的保护和维修工作；六是做好预备役征兵保障工作；七是做好农村税费改革农村税收工作；八是做好场镇环境卫生、路灯管理、人大等相关工作。着力于提高资金使用效益，按照基本支出和项目支出进度及时兑付进度款，确保党委政府和村（社区）基层基本运转和各类项目建设的顺利有序进行，为保障下半年项目验收、资金结算的合法性等打好了坚实基础。</w:t>
      </w:r>
    </w:p>
    <w:p>
      <w:pPr>
        <w:keepNext w:val="0"/>
        <w:keepLines w:val="0"/>
        <w:pageBreakBefore w:val="0"/>
        <w:widowControl/>
        <w:numPr>
          <w:ilvl w:val="0"/>
          <w:numId w:val="2"/>
        </w:numPr>
        <w:pBdr>
          <w:bottom w:val="single" w:color="FFFFFF" w:sz="8" w:space="31"/>
        </w:pBdr>
        <w:shd w:val="clear" w:color="auto" w:fill="FFFFFF"/>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eastAsia="黑体" w:cs="Times New Roman"/>
          <w:b/>
          <w:bCs/>
          <w:kern w:val="2"/>
          <w:sz w:val="32"/>
          <w:szCs w:val="32"/>
          <w:highlight w:val="none"/>
          <w:lang w:val="en-US" w:eastAsia="zh-CN" w:bidi="ar-SA"/>
        </w:rPr>
      </w:pPr>
      <w:r>
        <w:rPr>
          <w:rFonts w:hint="default" w:ascii="Times New Roman" w:hAnsi="Times New Roman" w:eastAsia="黑体" w:cs="Times New Roman"/>
          <w:b/>
          <w:bCs/>
          <w:kern w:val="2"/>
          <w:sz w:val="32"/>
          <w:szCs w:val="32"/>
          <w:highlight w:val="none"/>
          <w:lang w:val="en-US" w:eastAsia="zh-CN" w:bidi="ar-SA"/>
        </w:rPr>
        <w:t>部门</w:t>
      </w:r>
      <w:r>
        <w:rPr>
          <w:rFonts w:hint="eastAsia" w:ascii="Times New Roman" w:hAnsi="Times New Roman" w:eastAsia="黑体" w:cs="Times New Roman"/>
          <w:b/>
          <w:bCs/>
          <w:kern w:val="2"/>
          <w:sz w:val="32"/>
          <w:szCs w:val="32"/>
          <w:highlight w:val="none"/>
          <w:lang w:val="en-US" w:eastAsia="zh-CN" w:bidi="ar-SA"/>
        </w:rPr>
        <w:t>资金收支</w:t>
      </w:r>
      <w:r>
        <w:rPr>
          <w:rFonts w:hint="default" w:ascii="Times New Roman" w:hAnsi="Times New Roman" w:eastAsia="黑体" w:cs="Times New Roman"/>
          <w:b/>
          <w:bCs/>
          <w:kern w:val="2"/>
          <w:sz w:val="32"/>
          <w:szCs w:val="32"/>
          <w:highlight w:val="none"/>
          <w:lang w:val="en-US" w:eastAsia="zh-CN" w:bidi="ar-SA"/>
        </w:rPr>
        <w:t>情况</w:t>
      </w:r>
    </w:p>
    <w:p>
      <w:pPr>
        <w:keepNext w:val="0"/>
        <w:keepLines w:val="0"/>
        <w:pageBreakBefore w:val="0"/>
        <w:widowControl/>
        <w:numPr>
          <w:ilvl w:val="0"/>
          <w:numId w:val="3"/>
        </w:numPr>
        <w:pBdr>
          <w:bottom w:val="single" w:color="FFFFFF" w:sz="8" w:space="31"/>
        </w:pBdr>
        <w:shd w:val="clear" w:color="auto" w:fill="FFFFFF"/>
        <w:kinsoku/>
        <w:wordWrap/>
        <w:overflowPunct/>
        <w:topLinePunct w:val="0"/>
        <w:autoSpaceDE/>
        <w:autoSpaceDN/>
        <w:bidi w:val="0"/>
        <w:adjustRightInd/>
        <w:snapToGrid/>
        <w:spacing w:line="576" w:lineRule="exact"/>
        <w:ind w:firstLine="321" w:firstLineChars="100"/>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部门总体收支情况。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1.部门总体收入情况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2022年本年收入合计1685.8万元，其中：一般公共预算财政拨款收入1685.8万</w:t>
      </w:r>
      <w:r>
        <w:rPr>
          <w:rFonts w:hint="eastAsia" w:ascii="Times New Roman" w:hAnsi="Times New Roman" w:eastAsia="仿宋_GB2312" w:cs="仿宋_GB2312"/>
          <w:b w:val="0"/>
          <w:bCs w:val="0"/>
          <w:color w:val="auto"/>
          <w:kern w:val="2"/>
          <w:sz w:val="32"/>
          <w:szCs w:val="32"/>
          <w:lang w:val="en-US" w:eastAsia="zh-CN" w:bidi="ar-SA"/>
        </w:rPr>
        <w:t>元，</w:t>
      </w:r>
      <w:r>
        <w:rPr>
          <w:rFonts w:hint="eastAsia" w:ascii="仿宋_GB2312" w:hAnsi="仿宋_GB2312" w:eastAsia="仿宋_GB2312" w:cs="仿宋_GB2312"/>
          <w:b w:val="0"/>
          <w:bCs w:val="0"/>
          <w:color w:val="auto"/>
          <w:kern w:val="2"/>
          <w:sz w:val="32"/>
          <w:szCs w:val="32"/>
          <w:lang w:val="en-US" w:eastAsia="zh-CN" w:bidi="ar-SA"/>
        </w:rPr>
        <w:t>占100%。</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2.部门总体支出情况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2022年本年支出合计1685.8万元，其中：基本支出1283.27万元，占76.12%；项目支出402.53万元，占23.88%。</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3.部门总体结转结余情况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zh-CN" w:eastAsia="zh-CN" w:bidi="ar-SA"/>
        </w:rPr>
      </w:pPr>
      <w:r>
        <w:rPr>
          <w:rFonts w:hint="eastAsia" w:ascii="仿宋_GB2312" w:hAnsi="仿宋_GB2312" w:eastAsia="仿宋_GB2312" w:cs="仿宋_GB2312"/>
          <w:b w:val="0"/>
          <w:bCs w:val="0"/>
          <w:color w:val="auto"/>
          <w:kern w:val="2"/>
          <w:sz w:val="32"/>
          <w:szCs w:val="32"/>
          <w:lang w:val="en-US" w:eastAsia="zh-CN" w:bidi="ar-SA"/>
        </w:rPr>
        <w:t>2022年卫子镇无结转结余资金。</w:t>
      </w:r>
    </w:p>
    <w:p>
      <w:pPr>
        <w:pStyle w:val="14"/>
        <w:numPr>
          <w:ilvl w:val="0"/>
          <w:numId w:val="4"/>
        </w:numPr>
        <w:ind w:firstLine="738" w:firstLineChars="230"/>
        <w:jc w:val="both"/>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部门财政拨款收支情况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1.部门财政拨款收入情况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2022年本年收入合计1685.8万元，其中：一般公共预算财政拨款收入1685.8万元，占100%。</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2"/>
          <w:sz w:val="32"/>
          <w:szCs w:val="32"/>
          <w:lang w:val="en-US" w:eastAsia="zh-CN" w:bidi="ar-SA"/>
        </w:rPr>
        <w:t>2.</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部门财政拨款支出情况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2022年本年支出合计1685.8万元，其中：基本支出1283.27万元，占76.12%；项目支出402.53万元，占23.88%。</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3.部门财政拨款结转结余情况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zh-CN" w:eastAsia="zh-CN" w:bidi="ar-SA"/>
        </w:rPr>
      </w:pPr>
      <w:r>
        <w:rPr>
          <w:rFonts w:hint="eastAsia" w:ascii="仿宋_GB2312" w:hAnsi="仿宋_GB2312" w:eastAsia="仿宋_GB2312" w:cs="仿宋_GB2312"/>
          <w:b w:val="0"/>
          <w:bCs w:val="0"/>
          <w:color w:val="auto"/>
          <w:kern w:val="2"/>
          <w:sz w:val="32"/>
          <w:szCs w:val="32"/>
          <w:lang w:val="en-US" w:eastAsia="zh-CN" w:bidi="ar-SA"/>
        </w:rPr>
        <w:t>2022年卫子镇无结转结余资金。</w:t>
      </w:r>
    </w:p>
    <w:p>
      <w:pPr>
        <w:keepNext w:val="0"/>
        <w:keepLines w:val="0"/>
        <w:pageBreakBefore w:val="0"/>
        <w:widowControl/>
        <w:numPr>
          <w:ilvl w:val="0"/>
          <w:numId w:val="5"/>
        </w:numPr>
        <w:pBdr>
          <w:bottom w:val="single" w:color="FFFFFF" w:sz="8" w:space="31"/>
        </w:pBdr>
        <w:shd w:val="clear" w:color="auto" w:fill="FFFFFF"/>
        <w:kinsoku/>
        <w:wordWrap/>
        <w:overflowPunct/>
        <w:topLinePunct w:val="0"/>
        <w:autoSpaceDE/>
        <w:autoSpaceDN/>
        <w:bidi w:val="0"/>
        <w:adjustRightInd/>
        <w:snapToGrid/>
        <w:spacing w:line="576" w:lineRule="exact"/>
        <w:ind w:firstLine="642" w:firstLineChars="200"/>
        <w:textAlignment w:val="auto"/>
        <w:rPr>
          <w:rFonts w:hint="eastAsia" w:ascii="Times New Roman" w:hAnsi="Times New Roman" w:eastAsia="黑体" w:cs="Times New Roman"/>
          <w:b/>
          <w:bCs/>
          <w:kern w:val="2"/>
          <w:sz w:val="32"/>
          <w:szCs w:val="32"/>
          <w:lang w:val="en-US" w:eastAsia="zh-CN" w:bidi="ar-SA"/>
        </w:rPr>
      </w:pPr>
      <w:r>
        <w:rPr>
          <w:rFonts w:hint="default" w:ascii="Times New Roman" w:hAnsi="Times New Roman" w:eastAsia="黑体" w:cs="Times New Roman"/>
          <w:b/>
          <w:bCs/>
          <w:kern w:val="2"/>
          <w:sz w:val="32"/>
          <w:szCs w:val="32"/>
          <w:lang w:val="en-US" w:eastAsia="zh-CN" w:bidi="ar-SA"/>
        </w:rPr>
        <w:t>部门</w:t>
      </w:r>
      <w:r>
        <w:rPr>
          <w:rFonts w:hint="eastAsia" w:ascii="Times New Roman" w:hAnsi="Times New Roman" w:eastAsia="黑体" w:cs="Times New Roman"/>
          <w:b/>
          <w:bCs/>
          <w:kern w:val="2"/>
          <w:sz w:val="32"/>
          <w:szCs w:val="32"/>
          <w:lang w:val="en-US" w:eastAsia="zh-CN" w:bidi="ar-SA"/>
        </w:rPr>
        <w:t>整体绩效</w:t>
      </w:r>
      <w:r>
        <w:rPr>
          <w:rFonts w:hint="eastAsia" w:eastAsia="黑体" w:cs="Times New Roman"/>
          <w:b/>
          <w:bCs/>
          <w:kern w:val="2"/>
          <w:sz w:val="32"/>
          <w:szCs w:val="32"/>
          <w:lang w:val="en-US" w:eastAsia="zh-CN" w:bidi="ar-SA"/>
        </w:rPr>
        <w:t>分析</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textAlignment w:val="auto"/>
        <w:rPr>
          <w:rFonts w:hint="eastAsia" w:ascii="楷体_GB2312" w:hAnsi="楷体_GB2312" w:eastAsia="楷体_GB2312" w:cs="楷体_GB2312"/>
          <w:color w:val="auto"/>
          <w:sz w:val="32"/>
          <w:szCs w:val="32"/>
          <w:lang w:val="zh-CN" w:eastAsia="zh-CN"/>
        </w:rPr>
      </w:pP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b/>
          <w:bCs/>
          <w:color w:val="auto"/>
          <w:sz w:val="32"/>
          <w:szCs w:val="32"/>
          <w:lang w:val="en-US" w:eastAsia="zh-CN"/>
        </w:rPr>
        <w:t>（一）</w:t>
      </w:r>
      <w:r>
        <w:rPr>
          <w:rFonts w:hint="eastAsia" w:ascii="楷体_GB2312" w:hAnsi="楷体_GB2312" w:eastAsia="楷体_GB2312" w:cs="楷体_GB2312"/>
          <w:b/>
          <w:bCs/>
          <w:color w:val="auto"/>
          <w:sz w:val="32"/>
          <w:szCs w:val="32"/>
          <w:lang w:eastAsia="zh-CN"/>
        </w:rPr>
        <w:t>部门预算项目绩效</w:t>
      </w:r>
      <w:r>
        <w:rPr>
          <w:rFonts w:hint="eastAsia" w:ascii="楷体_GB2312" w:hAnsi="楷体_GB2312" w:eastAsia="楷体_GB2312" w:cs="楷体_GB2312"/>
          <w:b/>
          <w:bCs/>
          <w:color w:val="auto"/>
          <w:sz w:val="32"/>
          <w:szCs w:val="32"/>
          <w:lang w:val="zh-CN" w:eastAsia="zh-CN"/>
        </w:rPr>
        <w:t>分析</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1.人员类项目绩效分析</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部门绩效目标制定：绩效目标是预算编制的前提和基础，按照“费随事定”的原则，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目标实现：全年人员类资金支出1283.27万元，主要用于：人员基本工资、津贴补贴、奖金、机关事业单位养老保险、医疗保险，其他社会保障缴费、住房公积金、其他工资福利、其他对个人家庭补助支出等。</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支出控制：2022年卫子镇全年人员类资金支出1090.1万元。全年执行数：人员基本工资380.33万元、津贴补贴167.32万元、奖金8.63万元、机关事业单位养老保险84.01万元、医疗保险42.35万元、其他社会保障缴费4.51万元、住房公积金42.35万元、医疗费3.84万元、其他工资福利82.27万元、其他对个人家庭补助支出274.5万元，支出占比100%，本单位本年度严格按照预算数执行。</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及时处置：本单位本年度无项目调整，人员预算调整已严格按照上级要求按时按质完成预算调整。</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执行进度：卫子镇人民政府截止12月30日，实际支出1090.1万元，执行率100%。</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预算完成情况：截止2022年12月31日，卫子镇人民政府2022年全年预算人员类资金支出1090.1万元，全年实际执行数1090.1万元，执行率100%。</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资金结余金额：2022年无人员类结余资金</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2.运转类项目绩效分析</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部门绩效目标制定：绩效目标是预算编制的前提和基础，按照“费随事定”的原则，2022卫子镇人民政府垃圾清运费、村级办公经费，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目标实现：全年运转类资金支出193.17万元，主要用于：办公费、印刷费、水电费、差旅费、维修费、会议费、培训费、公务接待支出等。</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支出控制：2022年卫子镇人民政府预算日常公用经费193.17万元。全年执行数：办公费22.52万元、印刷费6.3万元、水费5万元、电费6万元、差旅费11.95万元、会议费6.5万元、培训费6.4万元、公务接待费23.6万元、其他交通费14.9万元，村级办公费84万元，合计193.17万元，支出占比100%，本单位本年度严格按照预算数执行。</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及时处置：本单位本年度无项目调整，与运转类经费调整已严格按照上级要求按时按质完成预算调整。</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执行进度：卫子镇人民政府截截止12月30日，实际支出193.17万元，执行率100%。</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预算完成情况：截止2022年12月31日，卫子镇人民政府2022年全年运转类资金预算193.17万元，全年实际执行数193.17万元，执行率100%。</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资金结余金额：2022年无运转类结余资金。</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3.特定目标类项目绩效分析</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部门绩效目标制定：绩效目标是预算编制的前提和基础，按照“费随事定”的原则，卫子镇人民政府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目标实现：全年特定目标类项目资金898.84万元。</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(1)基层组织活动和公共服务运行项目119万元，主要用于农村公共运行服务费。</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(2)烟叶发展资金项目67.98万元，主要用于烟叶发展。</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追加革命老区建设转移支付资金项目186万元，其中：卫子村红色文化民心广场项目50万元，狮子村养殖场山体滑坡治理项目55万元，元柏树村红色文化民心广场项目35万元，中山村反三路围剿建设项目15万元，主要用于红色文化广场及红色文化建设。其他纪检监察事务7万元，主要用于镇纪委监察室建设。抗旱资金12万元，主要用于各村抗旱设施建设。驻村工作队工作经费12万元，主要用于驻村工作队工作经费。</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2021年结转金额：262.93万元，其中：2021年烟叶发展产业资金项目23.93万元，主要用于烟叶产业发展；革命老区转移支付项目50万元，主要用于保民村地质灾害点划拨治理；2021年基层组织活动和公共服务运行经费119万元，主要用于农村公共服务运行；2021年狮子村脱贫攻坚提升项目60万元，主要用于脱贫攻坚巩固提升；2021年下达2021年暴雨洪涝灾害恢复重建中央基建投资项目10万元，主要用于卫子村暴雨洪涝灾害水毁恢复。</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支出控制：2022年卫子镇人民政府预算特定目标类项目资金支出898.84万元。全年执行数：基层组织活动和公共服务运行项目119万元、烟叶发展资金项目67.98万元、革命老区建设转移支付资金项目等186万元、2021年结转金额262.93万元，合计898.84万元，支出占比100%。</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及时处置：本单位本年度无项目调整，未支付资金，于下年存量支付。</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执行进度：卫子镇人民政府截止12月30日，实际支出898.84万元，执行率100%。</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预算完成情况：截止2022年12月31日，卫子镇人民政府2022年全年预算特定目标类项目资金支出898.84万元，全年实际执行数898.94万元，执行率100%。</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本单位无违法违纪使用资金情况。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2" w:firstLineChars="200"/>
        <w:textAlignment w:val="auto"/>
        <w:rPr>
          <w:rFonts w:hint="eastAsia" w:ascii="楷体_GB2312" w:hAnsi="楷体_GB2312" w:eastAsia="楷体_GB2312" w:cs="楷体_GB2312"/>
          <w:b/>
          <w:bCs/>
          <w:color w:val="auto"/>
          <w:sz w:val="32"/>
          <w:szCs w:val="32"/>
          <w:lang w:val="zh-CN" w:eastAsia="zh-CN"/>
        </w:rPr>
      </w:pP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lang w:val="zh-CN" w:eastAsia="zh-CN"/>
        </w:rPr>
        <w:t>部门整体履职绩效分析。</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从我单位部门整体支出绩效目标完成总情况来看，各个指标绩效运行正常有序。从数量指标来看，部门整体支出计划与完成数覆盖全镇15村2社区114个村民小组及镇村组干部212人，覆盖率为100%。从成本指标上看，镇村两级基本运转公用经费193.17万元，严格按照“上四下六”均衡用款原则执行了全年公用经费支出;项目支出898.84万元，严格审批各项资料完成支付。从质量指标上看，全年合理安接了人员工资及各类保险与日常公用支出，确保了单位正常运转。从成本指标上看，基本上按照单位计划完成了基本支出和项目支出的进度资金支付，确保了各级干部队伍的稳定及各个项目的正常有序建设。从效益指标及群众满意度指标上量，能特助力乡村损兴。经济效益上讲，引导产业发展，增加了农户收入。镇村干部及涉及群众满意度较高。</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2" w:firstLineChars="200"/>
        <w:textAlignment w:val="auto"/>
        <w:rPr>
          <w:rFonts w:hint="eastAsia" w:ascii="楷体_GB2312" w:hAnsi="楷体_GB2312" w:eastAsia="楷体_GB2312" w:cs="楷体_GB2312"/>
          <w:b/>
          <w:bCs/>
          <w:color w:val="auto"/>
          <w:sz w:val="32"/>
          <w:szCs w:val="32"/>
          <w:lang w:val="zh-CN" w:eastAsia="zh-CN"/>
        </w:rPr>
      </w:pP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lang w:val="zh-CN" w:eastAsia="zh-CN"/>
        </w:rPr>
        <w:t>结果应用情况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内部应用：一是成立了以镇长为组长，分管财务副镇长为副组长，纪委书记、镇财政所所长、镇农经站负责人、镇办公室负责人为成员的预算绩效管理工作领导小组，为进一步做好我镇年度预算绩效管理工作，开展年度预算绩效等财务相关工作；二是将办（中心）、村（社区）相关工作纳入年度考核中。三是建立内部财务制度。</w:t>
      </w:r>
      <w:r>
        <w:rPr>
          <w:rFonts w:hint="default" w:ascii="仿宋_GB2312" w:hAnsi="仿宋_GB2312" w:eastAsia="仿宋_GB2312" w:cs="仿宋_GB2312"/>
          <w:b w:val="0"/>
          <w:bCs w:val="0"/>
          <w:color w:val="auto"/>
          <w:kern w:val="2"/>
          <w:sz w:val="32"/>
          <w:szCs w:val="32"/>
          <w:lang w:val="en-US" w:eastAsia="zh-CN" w:bidi="ar-SA"/>
        </w:rPr>
        <w:t>所长、会计、出纳岗位职责明确，会计管账不管钱，出纳管钱不管账。所有支出都是以正规发票入账，并有经办人、分管领导等签字，然后由镇长审批支付。出纳负责按月将原始票据分类汇总并及时交会计按月记账，并按月与银行核对银行存款余额、与出纳核对现金余额，并将其分类汇总装订成册归档。所有支出都有财务初核，从最大程度上杜绝了不合规原始票据入账。印章管理实行会计出纳分管，会计管理财务公章、会计印章，出纳管理镇长印章、出纳印章。现金、存款支票均由出纳管理，使用时由会计人员填制，然后由出纳人员复核、加密、盖章。</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自评公开：</w:t>
      </w:r>
      <w:r>
        <w:rPr>
          <w:rFonts w:hint="default" w:ascii="仿宋_GB2312" w:hAnsi="仿宋_GB2312" w:eastAsia="仿宋_GB2312" w:cs="仿宋_GB2312"/>
          <w:b w:val="0"/>
          <w:bCs w:val="0"/>
          <w:color w:val="auto"/>
          <w:kern w:val="2"/>
          <w:sz w:val="32"/>
          <w:szCs w:val="32"/>
          <w:lang w:val="en-US" w:eastAsia="zh-CN" w:bidi="ar-SA"/>
        </w:rPr>
        <w:t>按</w:t>
      </w:r>
      <w:r>
        <w:rPr>
          <w:rFonts w:hint="eastAsia" w:ascii="仿宋_GB2312" w:hAnsi="仿宋_GB2312" w:eastAsia="仿宋_GB2312" w:cs="仿宋_GB2312"/>
          <w:b w:val="0"/>
          <w:bCs w:val="0"/>
          <w:color w:val="auto"/>
          <w:kern w:val="2"/>
          <w:sz w:val="32"/>
          <w:szCs w:val="32"/>
          <w:lang w:val="en-US" w:eastAsia="zh-CN" w:bidi="ar-SA"/>
        </w:rPr>
        <w:t>上级要求</w:t>
      </w:r>
      <w:r>
        <w:rPr>
          <w:rFonts w:hint="default" w:ascii="仿宋_GB2312" w:hAnsi="仿宋_GB2312" w:eastAsia="仿宋_GB2312" w:cs="仿宋_GB2312"/>
          <w:b w:val="0"/>
          <w:bCs w:val="0"/>
          <w:color w:val="auto"/>
          <w:kern w:val="2"/>
          <w:sz w:val="32"/>
          <w:szCs w:val="32"/>
          <w:lang w:val="en-US" w:eastAsia="zh-CN" w:bidi="ar-SA"/>
        </w:rPr>
        <w:t>公开公示制度要求，对各项资金的收支余管理情况进行了公开公示，对机关人员经费及公用经费开支情况定期不定期的上传机关微信、QQ工作群公示等，并设置了监督电话举报箱。按</w:t>
      </w:r>
      <w:r>
        <w:rPr>
          <w:rFonts w:hint="eastAsia" w:ascii="仿宋_GB2312" w:hAnsi="仿宋_GB2312" w:eastAsia="仿宋_GB2312" w:cs="仿宋_GB2312"/>
          <w:b w:val="0"/>
          <w:bCs w:val="0"/>
          <w:color w:val="auto"/>
          <w:kern w:val="2"/>
          <w:sz w:val="32"/>
          <w:szCs w:val="32"/>
          <w:lang w:val="en-US" w:eastAsia="zh-CN" w:bidi="ar-SA"/>
        </w:rPr>
        <w:t>上级要求</w:t>
      </w:r>
      <w:r>
        <w:rPr>
          <w:rFonts w:hint="default" w:ascii="仿宋_GB2312" w:hAnsi="仿宋_GB2312" w:eastAsia="仿宋_GB2312" w:cs="仿宋_GB2312"/>
          <w:b w:val="0"/>
          <w:bCs w:val="0"/>
          <w:color w:val="auto"/>
          <w:kern w:val="2"/>
          <w:sz w:val="32"/>
          <w:szCs w:val="32"/>
          <w:lang w:val="en-US" w:eastAsia="zh-CN" w:bidi="ar-SA"/>
        </w:rPr>
        <w:t>信息通达制度要求，落实财政所出纳为信息联络员，并有信息传递记录装订成册，并已分类整理、装订成册、归档保管。</w:t>
      </w:r>
    </w:p>
    <w:p>
      <w:pPr>
        <w:keepNext w:val="0"/>
        <w:keepLines w:val="0"/>
        <w:pageBreakBefore w:val="0"/>
        <w:widowControl/>
        <w:numPr>
          <w:ilvl w:val="0"/>
          <w:numId w:val="4"/>
        </w:numPr>
        <w:pBdr>
          <w:bottom w:val="single" w:color="FFFFFF" w:sz="8" w:space="31"/>
        </w:pBdr>
        <w:shd w:val="clear" w:color="auto" w:fill="FFFFFF"/>
        <w:kinsoku/>
        <w:wordWrap/>
        <w:overflowPunct/>
        <w:topLinePunct w:val="0"/>
        <w:autoSpaceDE/>
        <w:autoSpaceDN/>
        <w:bidi w:val="0"/>
        <w:adjustRightInd/>
        <w:snapToGrid/>
        <w:spacing w:line="240" w:lineRule="auto"/>
        <w:ind w:left="0" w:leftChars="0" w:firstLine="738" w:firstLineChars="230"/>
        <w:textAlignment w:val="auto"/>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 xml:space="preserve">自评质量     </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年人员类资金预算支出1283.27元，实际支出1283.27万元，主要用于：人员基本工资、津贴补贴、奖金、机关事业单位养老保险、医疗保险，其他社会保障缴费、住房公积金、其他工资福利、办公费、印刷费、水电费、差旅费、维修费、会议费、培训费、公务接待支出等。其他运转类和特定目标类资金支出852.44万元，实际支出650.46万元，主要用于农村公共运行服务费、烟叶发展经费及村社经费等，结转资金201.98万元。</w:t>
      </w:r>
    </w:p>
    <w:p>
      <w:pPr>
        <w:keepNext w:val="0"/>
        <w:keepLines w:val="0"/>
        <w:pageBreakBefore w:val="0"/>
        <w:widowControl/>
        <w:numPr>
          <w:ilvl w:val="0"/>
          <w:numId w:val="6"/>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default" w:ascii="楷体_GB2312" w:hAnsi="楷体_GB2312" w:eastAsia="楷体_GB2312" w:cs="楷体_GB2312"/>
          <w:b/>
          <w:bCs/>
          <w:color w:val="auto"/>
          <w:kern w:val="0"/>
          <w:sz w:val="32"/>
          <w:szCs w:val="32"/>
          <w:highlight w:val="none"/>
          <w:shd w:val="clear" w:color="auto" w:fill="FFFFFF"/>
          <w:lang w:val="en-US" w:eastAsia="zh-CN"/>
        </w:rPr>
      </w:pPr>
      <w:r>
        <w:rPr>
          <w:rFonts w:hint="default" w:ascii="Times New Roman" w:hAnsi="Times New Roman" w:eastAsia="黑体" w:cs="Times New Roman"/>
          <w:sz w:val="32"/>
          <w:szCs w:val="32"/>
        </w:rPr>
        <w:t>评价结论及建议</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2" w:firstLineChars="200"/>
        <w:textAlignment w:val="auto"/>
        <w:rPr>
          <w:rFonts w:hint="default"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（一）评价</w:t>
      </w:r>
      <w:r>
        <w:rPr>
          <w:rFonts w:hint="default" w:ascii="楷体_GB2312" w:hAnsi="楷体_GB2312" w:eastAsia="楷体_GB2312" w:cs="楷体_GB2312"/>
          <w:b/>
          <w:bCs/>
          <w:color w:val="auto"/>
          <w:kern w:val="0"/>
          <w:sz w:val="32"/>
          <w:szCs w:val="32"/>
          <w:highlight w:val="none"/>
          <w:shd w:val="clear" w:color="auto" w:fill="FFFFFF"/>
          <w:lang w:val="en-US" w:eastAsia="zh-CN"/>
        </w:rPr>
        <w:t xml:space="preserve">结论 </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cs="Times New Roman"/>
          <w:sz w:val="32"/>
          <w:szCs w:val="32"/>
          <w:lang w:val="en-US" w:eastAsia="zh-CN"/>
        </w:rPr>
      </w:pPr>
      <w:r>
        <w:rPr>
          <w:rFonts w:hint="eastAsia" w:ascii="仿宋_GB2312" w:hAnsi="仿宋_GB2312" w:eastAsia="仿宋_GB2312" w:cs="仿宋_GB2312"/>
          <w:sz w:val="32"/>
          <w:szCs w:val="32"/>
          <w:lang w:val="en-US" w:eastAsia="zh-CN"/>
        </w:rPr>
        <w:t>2022年</w:t>
      </w:r>
      <w:r>
        <w:rPr>
          <w:rFonts w:hint="default" w:ascii="仿宋_GB2312" w:hAnsi="仿宋_GB2312" w:eastAsia="仿宋_GB2312" w:cs="仿宋_GB2312"/>
          <w:sz w:val="32"/>
          <w:szCs w:val="32"/>
          <w:lang w:val="en-US" w:eastAsia="zh-CN"/>
        </w:rPr>
        <w:t>卫子镇部门整体支出符合国家财经法规和财务管理制度规定以及有关专项资金管理办法的规定，资金的拨付有完整的审批过程和手续，支出基本符合部门预算批复的用途，资金使用无截留、挤占、挪用、虚列支出等情况。根据区政府绩效考核文件精神，绩效目标在</w:t>
      </w:r>
      <w:r>
        <w:rPr>
          <w:rFonts w:hint="eastAsia" w:ascii="仿宋_GB2312" w:hAnsi="仿宋_GB2312" w:eastAsia="仿宋_GB2312" w:cs="仿宋_GB2312"/>
          <w:sz w:val="32"/>
          <w:szCs w:val="32"/>
          <w:lang w:val="en-US" w:eastAsia="zh-CN"/>
        </w:rPr>
        <w:t>2022年</w:t>
      </w:r>
      <w:r>
        <w:rPr>
          <w:rFonts w:hint="default" w:ascii="仿宋_GB2312" w:hAnsi="仿宋_GB2312" w:eastAsia="仿宋_GB2312" w:cs="仿宋_GB2312"/>
          <w:sz w:val="32"/>
          <w:szCs w:val="32"/>
          <w:lang w:val="en-US" w:eastAsia="zh-CN"/>
        </w:rPr>
        <w:t>基本完成，在保障机关运转、履行职能职责上整体情况良好。</w:t>
      </w:r>
      <w:r>
        <w:rPr>
          <w:rFonts w:hint="eastAsia" w:ascii="仿宋_GB2312" w:hAnsi="仿宋_GB2312" w:eastAsia="仿宋_GB2312" w:cs="仿宋_GB2312"/>
          <w:sz w:val="32"/>
          <w:szCs w:val="32"/>
          <w:lang w:val="en-US" w:eastAsia="zh-CN"/>
        </w:rPr>
        <w:t>自评得分98分。</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2" w:firstLineChars="200"/>
        <w:textAlignment w:val="auto"/>
        <w:rPr>
          <w:rFonts w:hint="default"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（二）</w:t>
      </w:r>
      <w:r>
        <w:rPr>
          <w:rFonts w:hint="default" w:ascii="楷体_GB2312" w:hAnsi="楷体_GB2312" w:eastAsia="楷体_GB2312" w:cs="楷体_GB2312"/>
          <w:b/>
          <w:bCs/>
          <w:color w:val="auto"/>
          <w:kern w:val="0"/>
          <w:sz w:val="32"/>
          <w:szCs w:val="32"/>
          <w:highlight w:val="none"/>
          <w:shd w:val="clear" w:color="auto" w:fill="FFFFFF"/>
          <w:lang w:val="en-US" w:eastAsia="zh-CN"/>
        </w:rPr>
        <w:t>存在问题</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sz w:val="32"/>
          <w:szCs w:val="32"/>
          <w:lang w:val="en-US" w:eastAsia="zh-CN"/>
        </w:rPr>
      </w:pPr>
      <w:r>
        <w:rPr>
          <w:rFonts w:hint="default" w:ascii="仿宋_GB2312" w:hAnsi="仿宋_GB2312" w:eastAsia="仿宋_GB2312" w:cs="仿宋_GB2312"/>
          <w:sz w:val="32"/>
          <w:szCs w:val="32"/>
          <w:lang w:val="en-US" w:eastAsia="zh-CN"/>
        </w:rPr>
        <w:t>固定资产盘活程度不够深入，绩效目标意识有待提高。</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2" w:firstLineChars="200"/>
        <w:textAlignment w:val="auto"/>
        <w:rPr>
          <w:rFonts w:hint="default"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（三）</w:t>
      </w:r>
      <w:r>
        <w:rPr>
          <w:rFonts w:hint="default" w:ascii="楷体_GB2312" w:hAnsi="楷体_GB2312" w:eastAsia="楷体_GB2312" w:cs="楷体_GB2312"/>
          <w:b/>
          <w:bCs/>
          <w:color w:val="auto"/>
          <w:kern w:val="0"/>
          <w:sz w:val="32"/>
          <w:szCs w:val="32"/>
          <w:highlight w:val="none"/>
          <w:shd w:val="clear" w:color="auto" w:fill="FFFFFF"/>
          <w:lang w:val="en-US" w:eastAsia="zh-CN"/>
        </w:rPr>
        <w:t>改进建议</w:t>
      </w:r>
      <w:r>
        <w:rPr>
          <w:rFonts w:hint="eastAsia" w:ascii="楷体_GB2312" w:hAnsi="楷体_GB2312" w:eastAsia="楷体_GB2312" w:cs="楷体_GB2312"/>
          <w:b/>
          <w:bCs/>
          <w:color w:val="auto"/>
          <w:kern w:val="0"/>
          <w:sz w:val="32"/>
          <w:szCs w:val="32"/>
          <w:highlight w:val="none"/>
          <w:shd w:val="clear" w:color="auto" w:fill="FFFFFF"/>
          <w:lang w:val="en-US" w:eastAsia="zh-CN"/>
        </w:rPr>
        <w:t xml:space="preserve"> </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严格按《行政单位财务规则》和《行政单位会计制度》的规定准确核算财务收支、编制财务报表，同时加强资产管理，定期和不定期盘点资产，以保证资产账实相符、账表相符。细化预算编制工作 ，进一步加强内部机构预算管理意识，严格按照预算编制的相关制度和要求，公用经费根据单位的年度工作重点和项目专项工作规划，本着“勤俭节约、保障运转”的原则进行预算的编制。编制范围尽可能的全面，不漏项。进一步提高预算编制的科学性、合理性、严谨性和可控性。</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附件：广元市昭化区卫子镇部门整体支出绩效目标自评表</w:t>
      </w:r>
    </w:p>
    <w:tbl>
      <w:tblPr>
        <w:tblStyle w:val="18"/>
        <w:tblW w:w="8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9"/>
        <w:gridCol w:w="443"/>
        <w:gridCol w:w="908"/>
        <w:gridCol w:w="909"/>
        <w:gridCol w:w="1986"/>
        <w:gridCol w:w="1431"/>
        <w:gridCol w:w="1576"/>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896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40"/>
                <w:szCs w:val="40"/>
                <w:u w:val="none"/>
              </w:rPr>
            </w:pPr>
            <w:r>
              <w:rPr>
                <w:rFonts w:hint="default" w:ascii="黑体" w:hAnsi="宋体" w:eastAsia="黑体" w:cs="黑体"/>
                <w:b/>
                <w:bCs/>
                <w:i w:val="0"/>
                <w:iCs w:val="0"/>
                <w:color w:val="000000"/>
                <w:kern w:val="0"/>
                <w:sz w:val="40"/>
                <w:szCs w:val="40"/>
                <w:u w:val="none"/>
                <w:lang w:val="en-US" w:eastAsia="zh-CN" w:bidi="ar"/>
              </w:rPr>
              <w:t>广元市昭化区卫子镇部门整体支出绩效目标自评表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896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8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广元市昭化区卫子镇人民政府</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6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广元市昭化区卫子镇人民政府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0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1919.86</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1685.8</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1919.86</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1685.8</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1919</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2089</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1673.8</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1.上年结转资金</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2.存量资金安排</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w:t>
            </w:r>
          </w:p>
        </w:tc>
        <w:tc>
          <w:tcPr>
            <w:tcW w:w="4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c>
          <w:tcPr>
            <w:tcW w:w="4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9"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是着力完成区级各项目标任务；二是尽最大努力保障在职干部、临聘人员、退休干部、村（社区）干部的工资、保险、目标奖、生活补助和日常正常运转；三是认真做好基层组织活动和公共运行维护硬件建设工作；四是完成了区政府下达的烤烟生产任务，完成烤烟种植1000亩，同时做好烤烟生产前、中的相关服务发展工作；五是做好旅游文化的保护和维修工作；六是做好预备役征兵保障工作；七是做好农村税费改革农村税收工作；八是做好场镇环境卫生、路灯管理、人大等相关工作。着力于提高资金使用效益，按照基本支出和项目支出进度及时兑付进度款，确保党委政府和村（社区）基层基本运转和各类项目建设的顺利有序进行，为保障下半年项目验收、资金结算的合法性等打好了坚实基础。</w:t>
            </w:r>
          </w:p>
        </w:tc>
        <w:tc>
          <w:tcPr>
            <w:tcW w:w="4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区级各项目标任务；保障在职干部、临聘人员、退休干部、村（社区）干部的工资、保险、目标奖、生活补助和日常正常运转；做好了基层组织活动和公共运行维护工作、农业生产发展工作、旅游文化的保护和维修工作、预备役征兵保障工作、农村税费改革农村税收工作、场镇环境卫生、路灯管理、招商引资/人大等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9" w:hRule="atLeast"/>
        </w:trPr>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部门整体绩效指标</w:t>
            </w: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种植烤烟亩数</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≥1000亩</w:t>
            </w:r>
          </w:p>
        </w:tc>
        <w:tc>
          <w:tcPr>
            <w:tcW w:w="1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1000亩</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烟地整理亩数</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≥800亩</w:t>
            </w:r>
          </w:p>
        </w:tc>
        <w:tc>
          <w:tcPr>
            <w:tcW w:w="1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800亩</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农村公共服务运行维护项目个数</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17个</w:t>
            </w:r>
          </w:p>
        </w:tc>
        <w:tc>
          <w:tcPr>
            <w:tcW w:w="1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17个</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全年清运垃圾次数</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≥36次</w:t>
            </w:r>
          </w:p>
        </w:tc>
        <w:tc>
          <w:tcPr>
            <w:tcW w:w="1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24次</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卫子、梅树、石井三个场镇路灯盏数</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≥120盏</w:t>
            </w:r>
          </w:p>
        </w:tc>
        <w:tc>
          <w:tcPr>
            <w:tcW w:w="1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120盏</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村（社区）干部的生活补助村（社区）干部的生活补助及保险人数及保险人数</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≤212人</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212人</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经费使用效率</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优良中低差</w:t>
            </w:r>
          </w:p>
        </w:tc>
        <w:tc>
          <w:tcPr>
            <w:tcW w:w="1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镇域内各项基本工作完成率</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镇域内项目验收合格率</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按工程建设、工作开展进度支付对应进度款</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镇域内基本支出预算控制额</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≤1244.72万元</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81万元</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镇域内项目资金支出预算控制额</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≤675.14万元</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1113.5万元</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完善政府公共服务能力，提升整体服务水平</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促进村民对国家政策理解支持率</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服务群众满意度</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7"/>
        <w:rPr>
          <w:rFonts w:hint="eastAsia" w:hAnsi="宋体" w:cs="宋体"/>
          <w:color w:val="auto"/>
          <w:kern w:val="0"/>
          <w:sz w:val="32"/>
          <w:szCs w:val="32"/>
          <w:highlight w:val="none"/>
          <w:shd w:val="clear" w:color="auto" w:fill="FFFFFF"/>
          <w:lang w:val="zh-CN"/>
        </w:rPr>
      </w:pPr>
    </w:p>
    <w:p>
      <w:pPr>
        <w:pStyle w:val="7"/>
        <w:rPr>
          <w:rFonts w:hint="eastAsia" w:eastAsia="仿宋_GB2312"/>
          <w:color w:val="auto"/>
          <w:sz w:val="32"/>
          <w:szCs w:val="32"/>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6" w:lineRule="exact"/>
        <w:ind w:left="0" w:leftChars="0" w:right="0" w:rightChars="0" w:firstLine="0" w:firstLineChars="0"/>
        <w:jc w:val="center"/>
        <w:textAlignment w:val="auto"/>
        <w:outlineLvl w:val="9"/>
        <w:rPr>
          <w:rFonts w:hint="default" w:eastAsia="黑体" w:cs="Times New Roman"/>
          <w:sz w:val="32"/>
          <w:szCs w:val="32"/>
          <w:lang w:val="en-US" w:eastAsia="zh-CN"/>
        </w:rPr>
      </w:pPr>
      <w:r>
        <w:rPr>
          <w:rFonts w:hint="eastAsia" w:ascii="Times New Roman" w:hAnsi="Times New Roman" w:eastAsia="方正小标宋简体" w:cs="Times New Roman"/>
          <w:sz w:val="44"/>
          <w:szCs w:val="44"/>
          <w:lang w:val="en-US" w:eastAsia="zh-CN"/>
        </w:rPr>
        <w:t>广元市昭化区</w:t>
      </w:r>
      <w:r>
        <w:rPr>
          <w:rFonts w:hint="eastAsia" w:eastAsia="方正小标宋简体" w:cs="Times New Roman"/>
          <w:sz w:val="44"/>
          <w:szCs w:val="44"/>
          <w:lang w:val="en-US" w:eastAsia="zh-CN"/>
        </w:rPr>
        <w:t>卫子镇人民政府</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6"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关于2022年</w:t>
      </w:r>
      <w:r>
        <w:rPr>
          <w:rFonts w:hint="eastAsia" w:eastAsia="方正小标宋简体" w:cs="Times New Roman"/>
          <w:sz w:val="44"/>
          <w:szCs w:val="44"/>
          <w:lang w:val="en-US" w:eastAsia="zh-CN"/>
        </w:rPr>
        <w:t>财政项目（</w:t>
      </w:r>
      <w:r>
        <w:rPr>
          <w:rFonts w:hint="eastAsia" w:ascii="Times New Roman" w:hAnsi="Times New Roman" w:eastAsia="方正小标宋简体" w:cs="Times New Roman"/>
          <w:sz w:val="44"/>
          <w:szCs w:val="44"/>
          <w:lang w:val="en-US" w:eastAsia="zh-CN"/>
        </w:rPr>
        <w:t>基层组织活动和公共服务运行经费</w:t>
      </w:r>
      <w:r>
        <w:rPr>
          <w:rFonts w:hint="default" w:ascii="Times New Roman" w:hAnsi="Times New Roman" w:eastAsia="方正小标宋简体" w:cs="Times New Roman"/>
          <w:sz w:val="44"/>
          <w:szCs w:val="44"/>
          <w:lang w:val="en-US" w:eastAsia="zh-CN"/>
        </w:rPr>
        <w:t>项目</w:t>
      </w:r>
      <w:r>
        <w:rPr>
          <w:rFonts w:hint="eastAsia" w:eastAsia="方正小标宋简体" w:cs="Times New Roman"/>
          <w:sz w:val="44"/>
          <w:szCs w:val="44"/>
          <w:lang w:val="en-US" w:eastAsia="zh-CN"/>
        </w:rPr>
        <w:t>）</w:t>
      </w:r>
      <w:r>
        <w:rPr>
          <w:rFonts w:hint="default" w:ascii="Times New Roman" w:hAnsi="Times New Roman" w:eastAsia="方正小标宋简体" w:cs="Times New Roman"/>
          <w:sz w:val="44"/>
          <w:szCs w:val="44"/>
          <w:lang w:val="en-US" w:eastAsia="zh-CN"/>
        </w:rPr>
        <w:t>支出绩效自评报告</w:t>
      </w:r>
    </w:p>
    <w:p>
      <w:pPr>
        <w:pStyle w:val="7"/>
        <w:keepNext w:val="0"/>
        <w:keepLines w:val="0"/>
        <w:pageBreakBefore w:val="0"/>
        <w:wordWrap/>
        <w:overflowPunct/>
        <w:topLinePunct w:val="0"/>
        <w:bidi w:val="0"/>
        <w:spacing w:line="576" w:lineRule="exact"/>
        <w:rPr>
          <w:rFonts w:hint="default"/>
        </w:rPr>
      </w:pPr>
    </w:p>
    <w:p>
      <w:pPr>
        <w:keepNext w:val="0"/>
        <w:keepLines w:val="0"/>
        <w:pageBreakBefore w:val="0"/>
        <w:widowControl w:val="0"/>
        <w:numPr>
          <w:ilvl w:val="0"/>
          <w:numId w:val="7"/>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lang w:val="zh-CN"/>
        </w:rPr>
      </w:pPr>
      <w:r>
        <w:rPr>
          <w:rFonts w:hint="default" w:ascii="Times New Roman" w:hAnsi="Times New Roman" w:eastAsia="黑体" w:cs="Times New Roman"/>
          <w:sz w:val="32"/>
          <w:szCs w:val="32"/>
          <w:lang w:val="zh-CN"/>
        </w:rPr>
        <w:t>项目概况</w:t>
      </w:r>
    </w:p>
    <w:p>
      <w:pPr>
        <w:keepNext w:val="0"/>
        <w:keepLines w:val="0"/>
        <w:pageBreakBefore w:val="0"/>
        <w:numPr>
          <w:ilvl w:val="0"/>
          <w:numId w:val="0"/>
        </w:numPr>
        <w:wordWrap/>
        <w:overflowPunct/>
        <w:topLinePunct w:val="0"/>
        <w:bidi w:val="0"/>
        <w:adjustRightInd w:val="0"/>
        <w:snapToGrid w:val="0"/>
        <w:spacing w:line="576" w:lineRule="exact"/>
        <w:ind w:firstLine="642" w:firstLineChars="200"/>
        <w:rPr>
          <w:rFonts w:hint="eastAsia" w:eastAsia="楷体_GB2312" w:cs="Times New Roman"/>
          <w:b/>
          <w:sz w:val="32"/>
          <w:szCs w:val="32"/>
          <w:lang w:val="zh-CN"/>
        </w:rPr>
      </w:pPr>
      <w:r>
        <w:rPr>
          <w:rFonts w:hint="eastAsia" w:eastAsia="楷体_GB2312" w:cs="Times New Roman"/>
          <w:b/>
          <w:sz w:val="32"/>
          <w:szCs w:val="32"/>
          <w:lang w:val="zh-CN"/>
        </w:rPr>
        <w:t>（一）</w:t>
      </w:r>
      <w:r>
        <w:rPr>
          <w:rFonts w:hint="default" w:ascii="Times New Roman" w:hAnsi="Times New Roman" w:eastAsia="楷体_GB2312" w:cs="Times New Roman"/>
          <w:b/>
          <w:sz w:val="32"/>
          <w:szCs w:val="32"/>
          <w:lang w:val="zh-CN"/>
        </w:rPr>
        <w:t>项目</w:t>
      </w:r>
      <w:r>
        <w:rPr>
          <w:rFonts w:hint="eastAsia" w:eastAsia="楷体_GB2312" w:cs="Times New Roman"/>
          <w:b/>
          <w:sz w:val="32"/>
          <w:szCs w:val="32"/>
          <w:lang w:val="zh-CN"/>
        </w:rPr>
        <w:t>基本情况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根据《广元市昭化区基层组织活动和公共服务运行经费管理使用管理办法》要求，广元市昭化区卫子镇辖15个村2个社区，其中一类村（社区）有3个卫子村、梅树村、金印社区，二类村（社区）有保民、狮子、穿心、石井铺、肖家寨、沈家阁、新荣、石井社区9个，三类村（社区）有冯家岭、板石沟、中山、千秋、元柏树村5个。根据一类村（社区）8万元/年、二类村（社区）7万元/年、三类村（社区）6万元/年的标准，资金总额119万元。由上级公共财政补助安排，属于一次性项目，主要用于村基层组织活动和公共服务运行经费，推进村（社区）各项工作正常开展；</w:t>
      </w:r>
      <w:r>
        <w:rPr>
          <w:rFonts w:hint="eastAsia" w:ascii="仿宋_GB2312" w:hAnsi="仿宋_GB2312" w:eastAsia="仿宋_GB2312" w:cs="仿宋_GB2312"/>
          <w:sz w:val="32"/>
          <w:szCs w:val="32"/>
          <w:lang w:val="zh-CN" w:eastAsia="zh-CN"/>
        </w:rPr>
        <w:t>村（社区）实行报账制度。区级、镇本级资金到位率均为100%。</w:t>
      </w:r>
    </w:p>
    <w:p>
      <w:pPr>
        <w:keepNext w:val="0"/>
        <w:keepLines w:val="0"/>
        <w:pageBreakBefore w:val="0"/>
        <w:widowControl w:val="0"/>
        <w:numPr>
          <w:ilvl w:val="0"/>
          <w:numId w:val="8"/>
        </w:numPr>
        <w:kinsoku/>
        <w:wordWrap/>
        <w:overflowPunct/>
        <w:topLinePunct w:val="0"/>
        <w:autoSpaceDE/>
        <w:autoSpaceDN/>
        <w:bidi w:val="0"/>
        <w:adjustRightInd w:val="0"/>
        <w:snapToGrid w:val="0"/>
        <w:spacing w:line="576" w:lineRule="exact"/>
        <w:ind w:firstLine="642"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年该项目主要用于卫子镇</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val="zh-CN" w:eastAsia="zh-CN"/>
        </w:rPr>
        <w:t>村</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社区的辖区内道路、水利、供水、</w:t>
      </w:r>
      <w:r>
        <w:rPr>
          <w:rFonts w:hint="eastAsia" w:ascii="仿宋_GB2312" w:hAnsi="仿宋_GB2312" w:eastAsia="仿宋_GB2312" w:cs="仿宋_GB2312"/>
          <w:sz w:val="32"/>
          <w:szCs w:val="32"/>
          <w:lang w:val="en-US" w:eastAsia="zh-CN"/>
        </w:rPr>
        <w:t>公园修复</w:t>
      </w:r>
      <w:r>
        <w:rPr>
          <w:rFonts w:hint="eastAsia" w:ascii="仿宋_GB2312" w:hAnsi="仿宋_GB2312" w:eastAsia="仿宋_GB2312" w:cs="仿宋_GB2312"/>
          <w:sz w:val="32"/>
          <w:szCs w:val="32"/>
          <w:lang w:val="zh-CN" w:eastAsia="zh-CN"/>
        </w:rPr>
        <w:t>等基础设施，农村垃圾、园林绿化等；农业科技推广、农业信息化、农业资源与生态保护等；农村生活服务“村村通”、电影放映服务、报刊图书阅览服务、文体及健身活动等；农村社会管理环境卫生监督管理、政策宣传、农村土地规划管理、食品安全保障等服务维护活动。</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Times New Roman" w:hAnsi="Times New Roman" w:eastAsia="楷体_GB2312" w:cs="Times New Roman"/>
          <w:b/>
          <w:sz w:val="32"/>
          <w:szCs w:val="32"/>
          <w:lang w:val="zh-CN"/>
        </w:rPr>
      </w:pPr>
      <w:r>
        <w:rPr>
          <w:rFonts w:hint="eastAsia" w:ascii="Times New Roman" w:hAnsi="Times New Roman" w:eastAsia="楷体_GB2312" w:cs="Times New Roman"/>
          <w:b/>
          <w:sz w:val="32"/>
          <w:szCs w:val="32"/>
          <w:lang w:val="zh-CN"/>
        </w:rPr>
        <w:t>（</w:t>
      </w:r>
      <w:r>
        <w:rPr>
          <w:rFonts w:hint="eastAsia" w:eastAsia="楷体_GB2312" w:cs="Times New Roman"/>
          <w:b/>
          <w:sz w:val="32"/>
          <w:szCs w:val="32"/>
          <w:lang w:val="zh-CN"/>
        </w:rPr>
        <w:t>三</w:t>
      </w:r>
      <w:r>
        <w:rPr>
          <w:rFonts w:hint="eastAsia" w:ascii="Times New Roman" w:hAnsi="Times New Roman" w:eastAsia="楷体_GB2312" w:cs="Times New Roman"/>
          <w:b/>
          <w:sz w:val="32"/>
          <w:szCs w:val="32"/>
          <w:lang w:val="zh-CN"/>
        </w:rPr>
        <w:t>）自评步骤及方法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sz w:val="32"/>
          <w:szCs w:val="32"/>
        </w:rPr>
      </w:pPr>
      <w:r>
        <w:rPr>
          <w:rFonts w:hint="eastAsia" w:ascii="仿宋_GB2312" w:hAnsi="仿宋_GB2312" w:eastAsia="仿宋_GB2312" w:cs="仿宋_GB2312"/>
          <w:sz w:val="32"/>
          <w:szCs w:val="32"/>
          <w:lang w:val="en-US" w:eastAsia="zh-CN"/>
        </w:rPr>
        <w:t>本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村、社区居民建议意见，做好自评工作。</w:t>
      </w:r>
    </w:p>
    <w:p>
      <w:pPr>
        <w:pStyle w:val="7"/>
        <w:numPr>
          <w:ilvl w:val="0"/>
          <w:numId w:val="7"/>
        </w:numPr>
        <w:ind w:left="0" w:leftChars="0" w:firstLine="608" w:firstLineChars="200"/>
        <w:rPr>
          <w:rFonts w:hint="eastAsia" w:ascii="黑体" w:hAnsi="黑体" w:eastAsia="黑体" w:cs="黑体"/>
          <w:w w:val="95"/>
          <w:sz w:val="32"/>
          <w:szCs w:val="32"/>
        </w:rPr>
      </w:pPr>
      <w:r>
        <w:rPr>
          <w:rFonts w:hint="eastAsia" w:ascii="黑体" w:hAnsi="黑体" w:eastAsia="黑体" w:cs="黑体"/>
          <w:w w:val="95"/>
          <w:sz w:val="32"/>
          <w:szCs w:val="32"/>
        </w:rPr>
        <w:t>项目资金申报及使用情况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黑体" w:hAnsi="黑体" w:eastAsia="黑体" w:cs="黑体"/>
          <w:w w:val="95"/>
          <w:sz w:val="32"/>
          <w:szCs w:val="32"/>
        </w:rPr>
      </w:pPr>
      <w:r>
        <w:rPr>
          <w:rFonts w:hint="default" w:ascii="Times New Roman" w:hAnsi="Times New Roman" w:eastAsia="楷体_GB2312" w:cs="Times New Roman"/>
          <w:b/>
          <w:sz w:val="32"/>
          <w:szCs w:val="32"/>
          <w:lang w:val="zh-CN"/>
        </w:rPr>
        <w:t>（一）</w:t>
      </w:r>
      <w:r>
        <w:rPr>
          <w:rFonts w:hint="eastAsia" w:eastAsia="楷体_GB2312" w:cs="Times New Roman"/>
          <w:b/>
          <w:sz w:val="32"/>
          <w:szCs w:val="32"/>
          <w:lang w:val="zh-CN"/>
        </w:rPr>
        <w:t>项目资金申报及批复情况</w:t>
      </w:r>
    </w:p>
    <w:p>
      <w:pPr>
        <w:pStyle w:val="7"/>
        <w:spacing w:before="108" w:line="304" w:lineRule="auto"/>
        <w:ind w:left="231" w:right="276" w:firstLine="6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该项目经费来源为财政拨款，纳入年初部门预算，金额119万元，年末到位资金 119万元，到位率100%。经费主要用于主要用于村基层组织活动和公共服务运行经费，推进村（社区）各项工作正常开展。</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w:t>
      </w:r>
      <w:r>
        <w:rPr>
          <w:rFonts w:hint="eastAsia" w:eastAsia="楷体_GB2312" w:cs="Times New Roman"/>
          <w:b/>
          <w:sz w:val="32"/>
          <w:szCs w:val="32"/>
          <w:lang w:val="zh-CN"/>
        </w:rPr>
        <w:t>二</w:t>
      </w:r>
      <w:r>
        <w:rPr>
          <w:rFonts w:hint="default" w:ascii="Times New Roman" w:hAnsi="Times New Roman" w:eastAsia="楷体_GB2312" w:cs="Times New Roman"/>
          <w:b/>
          <w:sz w:val="32"/>
          <w:szCs w:val="32"/>
          <w:lang w:val="zh-CN"/>
        </w:rPr>
        <w:t>）资金计划、到位及使用情况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zh-CN" w:eastAsia="zh-CN"/>
        </w:rPr>
        <w:t>1</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zh-CN" w:eastAsia="zh-CN"/>
        </w:rPr>
        <w:t>资金计划。</w:t>
      </w:r>
      <w:r>
        <w:rPr>
          <w:rFonts w:hint="eastAsia" w:ascii="仿宋_GB2312" w:hAnsi="仿宋_GB2312" w:eastAsia="仿宋_GB2312" w:cs="仿宋_GB2312"/>
          <w:sz w:val="32"/>
          <w:szCs w:val="32"/>
          <w:lang w:val="zh-CN" w:eastAsia="zh-CN"/>
        </w:rPr>
        <w:t>本项目资金来源为财政拨款，总投入为</w:t>
      </w:r>
      <w:r>
        <w:rPr>
          <w:rFonts w:hint="eastAsia" w:ascii="仿宋_GB2312" w:hAnsi="仿宋_GB2312" w:eastAsia="仿宋_GB2312" w:cs="仿宋_GB2312"/>
          <w:sz w:val="32"/>
          <w:szCs w:val="32"/>
          <w:lang w:val="en-US" w:eastAsia="zh-CN"/>
        </w:rPr>
        <w:t>119万元，资金于2022年初部门预算批复到位。</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2.资金到位。</w:t>
      </w:r>
      <w:r>
        <w:rPr>
          <w:rFonts w:hint="eastAsia" w:ascii="仿宋_GB2312" w:hAnsi="仿宋_GB2312" w:eastAsia="仿宋_GB2312" w:cs="仿宋_GB2312"/>
          <w:sz w:val="32"/>
          <w:szCs w:val="32"/>
          <w:lang w:val="zh-CN" w:eastAsia="zh-CN"/>
        </w:rPr>
        <w:t>截止评价时点，该项目</w:t>
      </w:r>
      <w:r>
        <w:rPr>
          <w:rFonts w:hint="eastAsia" w:ascii="仿宋_GB2312" w:hAnsi="仿宋_GB2312" w:eastAsia="仿宋_GB2312" w:cs="仿宋_GB2312"/>
          <w:sz w:val="32"/>
          <w:szCs w:val="32"/>
          <w:lang w:val="en-US" w:eastAsia="zh-CN"/>
        </w:rPr>
        <w:t>资金全部到位，资金到位率100%。</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zh-CN" w:eastAsia="zh-CN"/>
        </w:rPr>
        <w:t>资金使用。</w:t>
      </w:r>
      <w:r>
        <w:rPr>
          <w:rFonts w:hint="eastAsia" w:ascii="仿宋_GB2312" w:hAnsi="仿宋_GB2312" w:eastAsia="仿宋_GB2312" w:cs="仿宋_GB2312"/>
          <w:sz w:val="32"/>
          <w:szCs w:val="32"/>
          <w:lang w:val="zh-CN" w:eastAsia="zh-CN"/>
        </w:rPr>
        <w:t>汇总统计</w:t>
      </w:r>
      <w:r>
        <w:rPr>
          <w:rFonts w:hint="default" w:ascii="仿宋_GB2312" w:hAnsi="仿宋_GB2312" w:eastAsia="仿宋_GB2312" w:cs="仿宋_GB2312"/>
          <w:sz w:val="32"/>
          <w:szCs w:val="32"/>
          <w:lang w:val="zh-CN" w:eastAsia="zh-CN"/>
        </w:rPr>
        <w:t>截止评价时点项目资金的实际支出情况，</w:t>
      </w:r>
      <w:r>
        <w:rPr>
          <w:rFonts w:hint="eastAsia" w:ascii="仿宋_GB2312" w:hAnsi="仿宋_GB2312" w:eastAsia="仿宋_GB2312" w:cs="仿宋_GB2312"/>
          <w:sz w:val="32"/>
          <w:szCs w:val="32"/>
          <w:lang w:val="zh-CN" w:eastAsia="zh-CN"/>
        </w:rPr>
        <w:t>并对资金的安全性、规范性及有效性进行重点分析，包括</w:t>
      </w:r>
      <w:r>
        <w:rPr>
          <w:rFonts w:hint="default" w:ascii="仿宋_GB2312" w:hAnsi="仿宋_GB2312" w:eastAsia="仿宋_GB2312" w:cs="仿宋_GB2312"/>
          <w:sz w:val="32"/>
          <w:szCs w:val="32"/>
          <w:lang w:val="zh-CN" w:eastAsia="zh-CN"/>
        </w:rPr>
        <w:t>资金开支范围、</w:t>
      </w:r>
      <w:r>
        <w:rPr>
          <w:rFonts w:hint="eastAsia" w:ascii="仿宋_GB2312" w:hAnsi="仿宋_GB2312" w:eastAsia="仿宋_GB2312" w:cs="仿宋_GB2312"/>
          <w:sz w:val="32"/>
          <w:szCs w:val="32"/>
          <w:lang w:val="zh-CN" w:eastAsia="zh-CN"/>
        </w:rPr>
        <w:t>支付</w:t>
      </w:r>
      <w:r>
        <w:rPr>
          <w:rFonts w:hint="default" w:ascii="仿宋_GB2312" w:hAnsi="仿宋_GB2312" w:eastAsia="仿宋_GB2312" w:cs="仿宋_GB2312"/>
          <w:sz w:val="32"/>
          <w:szCs w:val="32"/>
          <w:lang w:val="zh-CN" w:eastAsia="zh-CN"/>
        </w:rPr>
        <w:t>标准</w:t>
      </w:r>
      <w:r>
        <w:rPr>
          <w:rFonts w:hint="eastAsia" w:ascii="仿宋_GB2312" w:hAnsi="仿宋_GB2312" w:eastAsia="仿宋_GB2312" w:cs="仿宋_GB2312"/>
          <w:sz w:val="32"/>
          <w:szCs w:val="32"/>
          <w:lang w:val="zh-CN" w:eastAsia="zh-CN"/>
        </w:rPr>
        <w:t>、</w:t>
      </w:r>
      <w:r>
        <w:rPr>
          <w:rFonts w:hint="default" w:ascii="仿宋_GB2312" w:hAnsi="仿宋_GB2312" w:eastAsia="仿宋_GB2312" w:cs="仿宋_GB2312"/>
          <w:sz w:val="32"/>
          <w:szCs w:val="32"/>
          <w:lang w:val="zh-CN" w:eastAsia="zh-CN"/>
        </w:rPr>
        <w:t>支付进度</w:t>
      </w:r>
      <w:r>
        <w:rPr>
          <w:rFonts w:hint="eastAsia" w:ascii="仿宋_GB2312" w:hAnsi="仿宋_GB2312" w:eastAsia="仿宋_GB2312" w:cs="仿宋_GB2312"/>
          <w:sz w:val="32"/>
          <w:szCs w:val="32"/>
          <w:lang w:val="zh-CN" w:eastAsia="zh-CN"/>
        </w:rPr>
        <w:t>、</w:t>
      </w:r>
      <w:r>
        <w:rPr>
          <w:rFonts w:hint="default" w:ascii="仿宋_GB2312" w:hAnsi="仿宋_GB2312" w:eastAsia="仿宋_GB2312" w:cs="仿宋_GB2312"/>
          <w:sz w:val="32"/>
          <w:szCs w:val="32"/>
          <w:lang w:val="zh-CN" w:eastAsia="zh-CN"/>
        </w:rPr>
        <w:t>支付依据</w:t>
      </w:r>
      <w:r>
        <w:rPr>
          <w:rFonts w:hint="eastAsia" w:ascii="仿宋_GB2312" w:hAnsi="仿宋_GB2312" w:eastAsia="仿宋_GB2312" w:cs="仿宋_GB2312"/>
          <w:sz w:val="32"/>
          <w:szCs w:val="32"/>
          <w:lang w:val="zh-CN" w:eastAsia="zh-CN"/>
        </w:rPr>
        <w:t>等</w:t>
      </w:r>
      <w:r>
        <w:rPr>
          <w:rFonts w:hint="default" w:ascii="仿宋_GB2312" w:hAnsi="仿宋_GB2312" w:eastAsia="仿宋_GB2312" w:cs="仿宋_GB2312"/>
          <w:sz w:val="32"/>
          <w:szCs w:val="32"/>
          <w:lang w:val="zh-CN" w:eastAsia="zh-CN"/>
        </w:rPr>
        <w:t>是否合规合法</w:t>
      </w:r>
      <w:r>
        <w:rPr>
          <w:rFonts w:hint="eastAsia" w:ascii="仿宋_GB2312" w:hAnsi="仿宋_GB2312" w:eastAsia="仿宋_GB2312" w:cs="仿宋_GB2312"/>
          <w:sz w:val="32"/>
          <w:szCs w:val="32"/>
          <w:lang w:val="zh-CN" w:eastAsia="zh-CN"/>
        </w:rPr>
        <w:t>、是</w:t>
      </w:r>
      <w:r>
        <w:rPr>
          <w:rFonts w:hint="default" w:ascii="仿宋_GB2312" w:hAnsi="仿宋_GB2312" w:eastAsia="仿宋_GB2312" w:cs="仿宋_GB2312"/>
          <w:sz w:val="32"/>
          <w:szCs w:val="32"/>
          <w:lang w:val="zh-CN" w:eastAsia="zh-CN"/>
        </w:rPr>
        <w:t>否与预算相符，并对</w:t>
      </w:r>
      <w:r>
        <w:rPr>
          <w:rFonts w:hint="eastAsia" w:ascii="仿宋_GB2312" w:hAnsi="仿宋_GB2312" w:eastAsia="仿宋_GB2312" w:cs="仿宋_GB2312"/>
          <w:sz w:val="32"/>
          <w:szCs w:val="32"/>
          <w:lang w:val="zh-CN" w:eastAsia="zh-CN"/>
        </w:rPr>
        <w:t>自评中发现的</w:t>
      </w:r>
      <w:r>
        <w:rPr>
          <w:rFonts w:hint="default" w:ascii="仿宋_GB2312" w:hAnsi="仿宋_GB2312" w:eastAsia="仿宋_GB2312" w:cs="仿宋_GB2312"/>
          <w:sz w:val="32"/>
          <w:szCs w:val="32"/>
          <w:lang w:val="zh-CN" w:eastAsia="zh-CN"/>
        </w:rPr>
        <w:t>相关问题进行</w:t>
      </w:r>
      <w:r>
        <w:rPr>
          <w:rFonts w:hint="eastAsia" w:ascii="仿宋_GB2312" w:hAnsi="仿宋_GB2312" w:eastAsia="仿宋_GB2312" w:cs="仿宋_GB2312"/>
          <w:sz w:val="32"/>
          <w:szCs w:val="32"/>
          <w:lang w:val="zh-CN" w:eastAsia="zh-CN"/>
        </w:rPr>
        <w:t>分析</w:t>
      </w:r>
      <w:r>
        <w:rPr>
          <w:rFonts w:hint="default" w:ascii="仿宋_GB2312" w:hAnsi="仿宋_GB2312" w:eastAsia="仿宋_GB2312" w:cs="仿宋_GB2312"/>
          <w:sz w:val="32"/>
          <w:szCs w:val="32"/>
          <w:lang w:val="zh-CN" w:eastAsia="zh-CN"/>
        </w:rPr>
        <w:t>说明。</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w:t>
      </w:r>
      <w:r>
        <w:rPr>
          <w:rFonts w:hint="eastAsia" w:eastAsia="楷体_GB2312" w:cs="Times New Roman"/>
          <w:b/>
          <w:sz w:val="32"/>
          <w:szCs w:val="32"/>
          <w:lang w:val="zh-CN"/>
        </w:rPr>
        <w:t>三</w:t>
      </w:r>
      <w:r>
        <w:rPr>
          <w:rFonts w:hint="default" w:ascii="Times New Roman" w:hAnsi="Times New Roman" w:eastAsia="楷体_GB2312" w:cs="Times New Roman"/>
          <w:b/>
          <w:sz w:val="32"/>
          <w:szCs w:val="32"/>
          <w:lang w:val="zh-CN"/>
        </w:rPr>
        <w:t>）项目财务管理情况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子镇基层活动和公共服务运行项目资金采取财政直接支付形式，由各村组织申报材料，形成项目专项资金申请报告报送财务部门，由财政所根据项目进度，严格按照项目资金管理办法对资金进行计划申请、划拨至所提供的第三方指定账户，及时、规范对收支进行账务处理和会计核算。对项目资金坚持专款专用、量入为出的原则，并建立好项目专项资金使用台账，加强项目专项资金的财务管理及使用监督管理。</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三</w:t>
      </w:r>
      <w:r>
        <w:rPr>
          <w:rFonts w:hint="default" w:ascii="Times New Roman" w:hAnsi="Times New Roman" w:eastAsia="黑体" w:cs="Times New Roman"/>
          <w:sz w:val="32"/>
          <w:szCs w:val="32"/>
        </w:rPr>
        <w:t>、项目实施及管理情况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Times New Roman" w:hAnsi="Times New Roman" w:eastAsia="仿宋_GB2312" w:cs="仿宋_GB2312"/>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一</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项目组织架构及实施流程。</w:t>
      </w:r>
      <w:r>
        <w:rPr>
          <w:rFonts w:hint="eastAsia" w:ascii="仿宋_GB2312" w:hAnsi="仿宋_GB2312" w:eastAsia="仿宋_GB2312" w:cs="仿宋_GB2312"/>
          <w:sz w:val="32"/>
          <w:szCs w:val="32"/>
          <w:lang w:val="zh-CN" w:eastAsia="zh-CN"/>
        </w:rPr>
        <w:t>镇党委政府高度重视</w:t>
      </w:r>
      <w:r>
        <w:rPr>
          <w:rFonts w:hint="eastAsia" w:ascii="仿宋_GB2312" w:hAnsi="仿宋_GB2312" w:eastAsia="仿宋_GB2312" w:cs="仿宋_GB2312"/>
          <w:sz w:val="32"/>
          <w:szCs w:val="32"/>
          <w:lang w:val="en-US" w:eastAsia="zh-CN"/>
        </w:rPr>
        <w:t>基层活动和公共服务运行项目</w:t>
      </w:r>
      <w:r>
        <w:rPr>
          <w:rFonts w:hint="eastAsia" w:ascii="仿宋_GB2312" w:hAnsi="仿宋_GB2312" w:eastAsia="仿宋_GB2312" w:cs="仿宋_GB2312"/>
          <w:sz w:val="32"/>
          <w:szCs w:val="32"/>
          <w:lang w:val="zh-CN" w:eastAsia="zh-CN"/>
        </w:rPr>
        <w:t>，并成立工作领导小组。以镇党委副书记、镇长为组长，各联村（社区）领导为副组长，财政所负责人、各村（社区书记）为成员。抓牢抓实此项目的实施。</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Times New Roman" w:hAnsi="Times New Roman" w:eastAsia="仿宋_GB2312" w:cs="仿宋_GB2312"/>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项目管理情况。</w:t>
      </w:r>
      <w:r>
        <w:rPr>
          <w:rFonts w:hint="eastAsia" w:ascii="仿宋_GB2312" w:hAnsi="仿宋_GB2312" w:eastAsia="仿宋_GB2312" w:cs="仿宋_GB2312"/>
          <w:sz w:val="32"/>
          <w:szCs w:val="32"/>
          <w:lang w:val="zh-CN" w:eastAsia="zh-CN"/>
        </w:rPr>
        <w:t>项目资金由镇财政所具体管理，按投资计划，制定管理制度，对项目资金按项目单独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核算实行“专款专用、专人管理”，不</w:t>
      </w:r>
      <w:r>
        <w:rPr>
          <w:rFonts w:hint="eastAsia" w:ascii="仿宋_GB2312" w:hAnsi="仿宋_GB2312" w:eastAsia="仿宋_GB2312" w:cs="仿宋_GB2312"/>
          <w:sz w:val="32"/>
          <w:szCs w:val="32"/>
          <w:lang w:val="en-US" w:eastAsia="zh-CN"/>
        </w:rPr>
        <w:t>存在</w:t>
      </w:r>
      <w:r>
        <w:rPr>
          <w:rFonts w:hint="eastAsia" w:ascii="仿宋_GB2312" w:hAnsi="仿宋_GB2312" w:eastAsia="仿宋_GB2312" w:cs="仿宋_GB2312"/>
          <w:sz w:val="32"/>
          <w:szCs w:val="32"/>
          <w:lang w:val="zh-CN" w:eastAsia="zh-CN"/>
        </w:rPr>
        <w:t>挤占挪用项目资金。</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Times New Roman" w:hAnsi="Times New Roman" w:eastAsia="仿宋_GB2312" w:cs="仿宋_GB2312"/>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项目监管情况。</w:t>
      </w:r>
      <w:r>
        <w:rPr>
          <w:rFonts w:hint="eastAsia" w:ascii="仿宋_GB2312" w:hAnsi="仿宋_GB2312" w:eastAsia="仿宋_GB2312" w:cs="仿宋_GB2312"/>
          <w:sz w:val="32"/>
          <w:szCs w:val="32"/>
          <w:lang w:val="zh-CN" w:eastAsia="zh-CN"/>
        </w:rPr>
        <w:t>项目的正常实施监督检查是保障。我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val="zh-CN" w:eastAsia="zh-CN"/>
        </w:rPr>
        <w:t>定期或不定期对项目进行现场检查和督查，确保项目建设质量。</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cs="Times New Roman"/>
          <w:sz w:val="32"/>
          <w:szCs w:val="32"/>
          <w:lang w:val="zh-CN"/>
        </w:rPr>
      </w:pPr>
      <w:r>
        <w:rPr>
          <w:rFonts w:hint="eastAsia" w:eastAsia="黑体" w:cs="Times New Roman"/>
          <w:sz w:val="32"/>
          <w:szCs w:val="32"/>
          <w:lang w:eastAsia="zh-CN"/>
        </w:rPr>
        <w:t>四</w:t>
      </w:r>
      <w:r>
        <w:rPr>
          <w:rFonts w:hint="default" w:ascii="Times New Roman" w:hAnsi="Times New Roman" w:eastAsia="黑体" w:cs="Times New Roman"/>
          <w:sz w:val="32"/>
          <w:szCs w:val="32"/>
        </w:rPr>
        <w:t>、项目绩效情况</w:t>
      </w:r>
      <w:r>
        <w:rPr>
          <w:rFonts w:hint="default" w:ascii="Times New Roman" w:hAnsi="Times New Roman" w:cs="Times New Roman"/>
          <w:sz w:val="32"/>
          <w:szCs w:val="32"/>
          <w:lang w:val="zh-CN"/>
        </w:rPr>
        <w:tab/>
      </w:r>
    </w:p>
    <w:p>
      <w:pPr>
        <w:pageBreakBefore w:val="0"/>
        <w:kinsoku/>
        <w:wordWrap/>
        <w:overflowPunct/>
        <w:topLinePunct w:val="0"/>
        <w:autoSpaceDE w:val="0"/>
        <w:autoSpaceDN w:val="0"/>
        <w:bidi w:val="0"/>
        <w:adjustRightInd w:val="0"/>
        <w:spacing w:line="576" w:lineRule="exact"/>
        <w:ind w:firstLine="642"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（一）项目完成情况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镇党委政府将</w:t>
      </w:r>
      <w:r>
        <w:rPr>
          <w:rFonts w:hint="eastAsia" w:ascii="仿宋_GB2312" w:hAnsi="仿宋_GB2312" w:eastAsia="仿宋_GB2312" w:cs="仿宋_GB2312"/>
          <w:sz w:val="32"/>
          <w:szCs w:val="32"/>
          <w:lang w:val="en-US" w:eastAsia="zh-CN"/>
        </w:rPr>
        <w:t>基层活动和公共服务运行项目</w:t>
      </w:r>
      <w:r>
        <w:rPr>
          <w:rFonts w:hint="eastAsia" w:ascii="仿宋_GB2312" w:hAnsi="仿宋_GB2312" w:eastAsia="仿宋_GB2312" w:cs="仿宋_GB2312"/>
          <w:sz w:val="32"/>
          <w:szCs w:val="32"/>
          <w:lang w:val="zh-CN" w:eastAsia="zh-CN"/>
        </w:rPr>
        <w:t>工作纳入村级目标管理，</w:t>
      </w:r>
      <w:r>
        <w:rPr>
          <w:rFonts w:hint="eastAsia" w:ascii="仿宋_GB2312" w:hAnsi="仿宋_GB2312" w:eastAsia="仿宋_GB2312" w:cs="仿宋_GB2312"/>
          <w:sz w:val="32"/>
          <w:szCs w:val="32"/>
          <w:lang w:val="en-US" w:eastAsia="zh-CN"/>
        </w:rPr>
        <w:t>按照质量标准、进度设计、成本控制目标，根据《广元市昭化区基层活动和公共运行服务运行经费使用管理办法》，服务对象覆盖15个村2个社区、114个村民小组，完成组织活动场所维护17个、全年组织开展活动共204次、全年垃圾清运共204次，村容村貌良好，无任何“脏乱差”现象的发生，加强了基层组织建设，提高了公共运行服务保障水平和社会治理能力。</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default" w:ascii="仿宋_GB2312" w:hAnsi="仿宋_GB2312" w:eastAsia="仿宋_GB2312" w:cs="仿宋_GB2312"/>
          <w:sz w:val="32"/>
          <w:szCs w:val="32"/>
          <w:lang w:val="en-US" w:eastAsia="zh-CN"/>
        </w:rPr>
      </w:pPr>
      <w:r>
        <w:rPr>
          <w:rFonts w:hint="default" w:ascii="仿宋" w:hAnsi="仿宋" w:eastAsia="仿宋" w:cs="Times New Roman"/>
          <w:b/>
          <w:color w:val="auto"/>
          <w:sz w:val="32"/>
          <w:szCs w:val="32"/>
          <w:highlight w:val="none"/>
          <w:lang w:val="zh-CN" w:eastAsia="zh-CN"/>
        </w:rPr>
        <w:t>（二）项目效益情况。</w:t>
      </w:r>
      <w:r>
        <w:rPr>
          <w:rFonts w:hint="eastAsia" w:ascii="仿宋_GB2312" w:hAnsi="仿宋_GB2312" w:eastAsia="仿宋_GB2312" w:cs="仿宋_GB2312"/>
          <w:sz w:val="32"/>
          <w:szCs w:val="32"/>
          <w:lang w:val="en-US" w:eastAsia="zh-CN"/>
        </w:rPr>
        <w:t>为切实做好这项工作，根据《四川省农村公共服务运行维护机制建设工作手册》，结合我镇的实际实施情况，将基层活动和公共服务运行项目的长效实施改善了15个村2个社区群众的生产生活条件，提高了群众生活质量，完善农村社区基础设施功能，全镇域内无“脏、乱、差”现象，村容村貌良好，环境质量、空气质量良好，</w:t>
      </w:r>
      <w:r>
        <w:rPr>
          <w:rFonts w:hint="eastAsia" w:ascii="仿宋_GB2312" w:hAnsi="仿宋_GB2312" w:eastAsia="仿宋_GB2312" w:cs="仿宋_GB2312"/>
          <w:sz w:val="32"/>
          <w:szCs w:val="32"/>
          <w:lang w:val="zh-CN" w:eastAsia="zh-CN"/>
        </w:rPr>
        <w:t>持续提升了昭化镇社会治理能力，得到群众的认可和满意。</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五</w:t>
      </w:r>
      <w:r>
        <w:rPr>
          <w:rFonts w:hint="default" w:ascii="Times New Roman" w:hAnsi="Times New Roman" w:eastAsia="黑体" w:cs="Times New Roman"/>
          <w:sz w:val="32"/>
          <w:szCs w:val="32"/>
        </w:rPr>
        <w:t>、</w:t>
      </w:r>
      <w:r>
        <w:rPr>
          <w:rFonts w:hint="eastAsia" w:eastAsia="黑体" w:cs="Times New Roman"/>
          <w:sz w:val="32"/>
          <w:szCs w:val="32"/>
          <w:lang w:eastAsia="zh-CN"/>
        </w:rPr>
        <w:t>评价结论及</w:t>
      </w:r>
      <w:r>
        <w:rPr>
          <w:rFonts w:hint="default" w:ascii="Times New Roman" w:hAnsi="Times New Roman" w:eastAsia="黑体" w:cs="Times New Roman"/>
          <w:sz w:val="32"/>
          <w:szCs w:val="32"/>
        </w:rPr>
        <w:t>建议</w:t>
      </w:r>
    </w:p>
    <w:p>
      <w:pPr>
        <w:pStyle w:val="7"/>
        <w:spacing w:before="108"/>
        <w:ind w:left="951"/>
      </w:pPr>
      <w:r>
        <w:rPr>
          <w:rFonts w:hint="eastAsia" w:ascii="Times New Roman" w:hAnsi="Times New Roman" w:eastAsia="楷体_GB2312" w:cs="Times New Roman"/>
          <w:b/>
          <w:sz w:val="32"/>
          <w:szCs w:val="32"/>
          <w:lang w:val="zh-CN" w:eastAsia="zh-CN"/>
        </w:rPr>
        <w:t>（一）评价结论。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lang w:val="zh-CN" w:eastAsia="zh-CN"/>
        </w:rPr>
        <w:t>基层组织活动和农村公共运行维护机制建设工作，是贯彻落实统筹城乡发展战略的重要举措，是完善乡村治理机制的重要抓手，是加强基层民主政治建设的重要平台，是解决农村公共服务差异化需求的重要手段。我镇</w:t>
      </w:r>
      <w:r>
        <w:rPr>
          <w:rFonts w:hint="eastAsia" w:ascii="仿宋_GB2312" w:hAnsi="仿宋_GB2312" w:eastAsia="仿宋_GB2312" w:cs="仿宋_GB2312"/>
          <w:sz w:val="32"/>
          <w:szCs w:val="32"/>
          <w:lang w:val="en-US" w:eastAsia="zh-CN"/>
        </w:rPr>
        <w:t>2022年基层活动和公共服务运行项目</w:t>
      </w:r>
      <w:r>
        <w:rPr>
          <w:rFonts w:hint="eastAsia" w:ascii="仿宋_GB2312" w:hAnsi="仿宋_GB2312" w:eastAsia="仿宋_GB2312" w:cs="仿宋_GB2312"/>
          <w:sz w:val="32"/>
          <w:szCs w:val="32"/>
          <w:lang w:val="zh-CN" w:eastAsia="zh-CN"/>
        </w:rPr>
        <w:t>保障了我镇</w:t>
      </w:r>
      <w:r>
        <w:rPr>
          <w:rFonts w:hint="eastAsia" w:ascii="仿宋_GB2312" w:hAnsi="仿宋_GB2312" w:eastAsia="仿宋_GB2312" w:cs="仿宋_GB2312"/>
          <w:sz w:val="32"/>
          <w:szCs w:val="32"/>
          <w:lang w:val="en-US" w:eastAsia="zh-CN"/>
        </w:rPr>
        <w:t>各村</w:t>
      </w:r>
      <w:r>
        <w:rPr>
          <w:rFonts w:hint="eastAsia" w:ascii="仿宋_GB2312" w:hAnsi="仿宋_GB2312" w:eastAsia="仿宋_GB2312" w:cs="仿宋_GB2312"/>
          <w:sz w:val="32"/>
          <w:szCs w:val="32"/>
          <w:lang w:val="zh-CN" w:eastAsia="zh-CN"/>
        </w:rPr>
        <w:t>完成各项基本工作任务，</w:t>
      </w:r>
      <w:r>
        <w:rPr>
          <w:rFonts w:hint="eastAsia" w:ascii="仿宋_GB2312" w:hAnsi="仿宋_GB2312" w:eastAsia="仿宋_GB2312" w:cs="仿宋_GB2312"/>
          <w:sz w:val="32"/>
          <w:szCs w:val="32"/>
          <w:lang w:val="en-US" w:eastAsia="zh-CN"/>
        </w:rPr>
        <w:t>按照《广元市昭化区人民政府办公室关于印发&lt;广元市昭化区财政支出事后绩效评价管理办法&gt;的通知》(昭府办函[2022]37号)绩效评价指标体系开展绩效自评</w:t>
      </w:r>
      <w:r>
        <w:rPr>
          <w:rFonts w:hint="eastAsia" w:ascii="仿宋_GB2312" w:hAnsi="仿宋_GB2312" w:eastAsia="仿宋_GB2312" w:cs="仿宋_GB2312"/>
          <w:sz w:val="32"/>
          <w:szCs w:val="32"/>
          <w:lang w:val="zh-CN" w:eastAsia="zh-CN"/>
        </w:rPr>
        <w:t>，自评得分为</w:t>
      </w:r>
      <w:r>
        <w:rPr>
          <w:rFonts w:hint="eastAsia" w:ascii="仿宋_GB2312" w:hAnsi="仿宋_GB2312" w:eastAsia="仿宋_GB2312" w:cs="仿宋_GB2312"/>
          <w:sz w:val="32"/>
          <w:szCs w:val="32"/>
          <w:lang w:val="en-US" w:eastAsia="zh-CN"/>
        </w:rPr>
        <w:t>99.5分。</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Times New Roman" w:hAnsi="Times New Roman" w:eastAsia="楷体_GB2312" w:cs="Times New Roman"/>
          <w:b/>
          <w:sz w:val="32"/>
          <w:szCs w:val="32"/>
          <w:lang w:val="zh-CN"/>
        </w:rPr>
      </w:pPr>
      <w:r>
        <w:rPr>
          <w:rFonts w:hint="eastAsia" w:ascii="Times New Roman" w:hAnsi="Times New Roman" w:eastAsia="楷体_GB2312" w:cs="Times New Roman"/>
          <w:b/>
          <w:sz w:val="32"/>
          <w:szCs w:val="32"/>
          <w:lang w:val="zh-CN"/>
        </w:rPr>
        <w:t>（二）存在的问题</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各村（社区）在维护运行过程中存在维护进度缓慢、资金不够等问题，建议在今后的农村公共服务运行维护项目中加强整体规划，融入天气、地理等因素，合理安排、精心规划，按进度申报及拨付资金。</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Times New Roman" w:hAnsi="Times New Roman" w:eastAsia="楷体_GB2312" w:cs="Times New Roman"/>
          <w:b/>
          <w:sz w:val="32"/>
          <w:szCs w:val="32"/>
          <w:lang w:val="zh-CN"/>
        </w:rPr>
      </w:pPr>
      <w:r>
        <w:rPr>
          <w:rFonts w:hint="eastAsia" w:ascii="Times New Roman" w:hAnsi="Times New Roman" w:eastAsia="楷体_GB2312" w:cs="Times New Roman"/>
          <w:b/>
          <w:sz w:val="32"/>
          <w:szCs w:val="32"/>
          <w:lang w:val="zh-CN"/>
        </w:rPr>
        <w:t>（三）相关建议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1、加强资金管理，在公共服务运行维护资金的使用范围上严格把关，按规定进行公开透明；</w:t>
      </w:r>
      <w:r>
        <w:rPr>
          <w:rFonts w:hint="eastAsia" w:ascii="仿宋_GB2312" w:hAnsi="仿宋_GB2312" w:eastAsia="仿宋_GB2312" w:cs="仿宋_GB2312"/>
          <w:sz w:val="32"/>
          <w:szCs w:val="32"/>
          <w:lang w:val="zh-CN"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2、该项目是国家一项长久的惠民政策。加强该项目资金实施的事前、事中、事后监督，提高项目资金使用精准，加强项目资金的财务核算管理。</w:t>
      </w:r>
    </w:p>
    <w:p>
      <w:pPr>
        <w:pStyle w:val="2"/>
        <w:rPr>
          <w:rFonts w:hint="eastAsia" w:ascii="Times New Roman" w:hAnsi="Times New Roman" w:eastAsia="仿宋_GB2312" w:cs="仿宋_GB2312"/>
          <w:sz w:val="32"/>
          <w:szCs w:val="32"/>
          <w:lang w:val="zh-CN" w:eastAsia="zh-CN"/>
        </w:rPr>
      </w:pPr>
    </w:p>
    <w:p>
      <w:pPr>
        <w:rPr>
          <w:rFonts w:hint="eastAsia"/>
          <w:lang w:val="zh-CN" w:eastAsia="zh-CN"/>
        </w:rPr>
      </w:pPr>
    </w:p>
    <w:tbl>
      <w:tblPr>
        <w:tblStyle w:val="18"/>
        <w:tblW w:w="9166"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368"/>
        <w:gridCol w:w="1080"/>
        <w:gridCol w:w="1731"/>
        <w:gridCol w:w="587"/>
        <w:gridCol w:w="1256"/>
        <w:gridCol w:w="625"/>
        <w:gridCol w:w="810"/>
        <w:gridCol w:w="557"/>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9166"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40"/>
                <w:szCs w:val="40"/>
                <w:u w:val="none"/>
              </w:rPr>
            </w:pPr>
            <w:r>
              <w:rPr>
                <w:rFonts w:hint="default" w:ascii="黑体" w:hAnsi="宋体" w:eastAsia="黑体" w:cs="黑体"/>
                <w:b/>
                <w:bCs/>
                <w:i w:val="0"/>
                <w:iCs w:val="0"/>
                <w:color w:val="000000"/>
                <w:kern w:val="0"/>
                <w:sz w:val="40"/>
                <w:szCs w:val="40"/>
                <w:u w:val="none"/>
                <w:lang w:val="en-US" w:eastAsia="zh-CN" w:bidi="ar"/>
              </w:rPr>
              <w:t>广元市昭化区卫子镇</w:t>
            </w:r>
            <w:r>
              <w:rPr>
                <w:rFonts w:hint="eastAsia" w:ascii="黑体" w:hAnsi="宋体" w:eastAsia="黑体" w:cs="黑体"/>
                <w:b/>
                <w:bCs/>
                <w:i w:val="0"/>
                <w:iCs w:val="0"/>
                <w:color w:val="000000"/>
                <w:kern w:val="0"/>
                <w:sz w:val="40"/>
                <w:szCs w:val="40"/>
                <w:u w:val="none"/>
                <w:lang w:val="en-US" w:eastAsia="zh-CN" w:bidi="ar"/>
              </w:rPr>
              <w:t>基层组织活动和公共服务运行项目支出绩效</w:t>
            </w:r>
            <w:r>
              <w:rPr>
                <w:rFonts w:hint="default" w:ascii="黑体" w:hAnsi="宋体" w:eastAsia="黑体" w:cs="黑体"/>
                <w:b/>
                <w:bCs/>
                <w:i w:val="0"/>
                <w:iCs w:val="0"/>
                <w:color w:val="000000"/>
                <w:kern w:val="0"/>
                <w:sz w:val="40"/>
                <w:szCs w:val="40"/>
                <w:u w:val="none"/>
                <w:lang w:val="en-US" w:eastAsia="zh-CN" w:bidi="ar"/>
              </w:rPr>
              <w:t>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9166" w:type="dxa"/>
            <w:gridSpan w:val="10"/>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576" w:type="dxa"/>
            <w:vMerge w:val="restart"/>
            <w:shd w:val="clear" w:color="auto" w:fill="auto"/>
          </w:tcPr>
          <w:p>
            <w:pPr>
              <w:pStyle w:val="42"/>
              <w:jc w:val="left"/>
              <w:rPr>
                <w:sz w:val="18"/>
              </w:rPr>
            </w:pPr>
          </w:p>
          <w:p>
            <w:pPr>
              <w:pStyle w:val="42"/>
              <w:jc w:val="left"/>
              <w:rPr>
                <w:sz w:val="18"/>
              </w:rPr>
            </w:pPr>
          </w:p>
          <w:p>
            <w:pPr>
              <w:pStyle w:val="42"/>
              <w:jc w:val="left"/>
              <w:rPr>
                <w:sz w:val="18"/>
              </w:rPr>
            </w:pPr>
          </w:p>
          <w:p>
            <w:pPr>
              <w:pStyle w:val="42"/>
              <w:spacing w:before="116" w:line="324" w:lineRule="auto"/>
              <w:ind w:left="107" w:right="96"/>
              <w:jc w:val="both"/>
              <w:rPr>
                <w:sz w:val="18"/>
              </w:rPr>
            </w:pPr>
            <w:r>
              <w:rPr>
                <w:spacing w:val="-2"/>
                <w:sz w:val="18"/>
              </w:rPr>
              <w:t>预算执行</w:t>
            </w:r>
            <w:r>
              <w:rPr>
                <w:spacing w:val="-9"/>
                <w:sz w:val="18"/>
              </w:rPr>
              <w:t>情况</w:t>
            </w:r>
          </w:p>
          <w:p>
            <w:pPr>
              <w:pStyle w:val="42"/>
              <w:spacing w:before="2" w:line="324" w:lineRule="auto"/>
              <w:ind w:left="107" w:right="96"/>
              <w:jc w:val="left"/>
              <w:rPr>
                <w:sz w:val="18"/>
              </w:rPr>
            </w:pPr>
            <w:r>
              <w:rPr>
                <w:sz w:val="18"/>
              </w:rPr>
              <w:t>（10</w:t>
            </w:r>
            <w:r>
              <w:rPr>
                <w:spacing w:val="-88"/>
                <w:sz w:val="18"/>
              </w:rPr>
              <w:t xml:space="preserve"> </w:t>
            </w:r>
            <w:r>
              <w:rPr>
                <w:spacing w:val="-9"/>
                <w:sz w:val="18"/>
              </w:rPr>
              <w:t>分</w:t>
            </w:r>
            <w:r>
              <w:rPr>
                <w:spacing w:val="-8"/>
                <w:sz w:val="18"/>
              </w:rPr>
              <w:t>）</w:t>
            </w:r>
          </w:p>
        </w:tc>
        <w:tc>
          <w:tcPr>
            <w:tcW w:w="1368" w:type="dxa"/>
            <w:shd w:val="clear" w:color="auto" w:fill="auto"/>
          </w:tcPr>
          <w:p>
            <w:pPr>
              <w:pStyle w:val="42"/>
              <w:spacing w:before="42"/>
              <w:ind w:left="232"/>
              <w:jc w:val="left"/>
              <w:rPr>
                <w:sz w:val="18"/>
              </w:rPr>
            </w:pPr>
            <w:r>
              <w:rPr>
                <w:sz w:val="18"/>
              </w:rPr>
              <w:t>年度预算数</w:t>
            </w:r>
          </w:p>
          <w:p>
            <w:pPr>
              <w:pStyle w:val="42"/>
              <w:spacing w:before="81"/>
              <w:ind w:left="323"/>
              <w:jc w:val="left"/>
              <w:rPr>
                <w:sz w:val="18"/>
              </w:rPr>
            </w:pPr>
            <w:r>
              <w:rPr>
                <w:sz w:val="18"/>
              </w:rPr>
              <w:t>（万元）</w:t>
            </w:r>
          </w:p>
        </w:tc>
        <w:tc>
          <w:tcPr>
            <w:tcW w:w="1080" w:type="dxa"/>
            <w:shd w:val="clear" w:color="auto" w:fill="auto"/>
          </w:tcPr>
          <w:p>
            <w:pPr>
              <w:pStyle w:val="42"/>
              <w:spacing w:before="6"/>
              <w:jc w:val="left"/>
              <w:rPr>
                <w:sz w:val="15"/>
              </w:rPr>
            </w:pPr>
          </w:p>
          <w:p>
            <w:pPr>
              <w:pStyle w:val="42"/>
              <w:ind w:left="159" w:right="150"/>
              <w:rPr>
                <w:sz w:val="18"/>
              </w:rPr>
            </w:pPr>
            <w:r>
              <w:rPr>
                <w:sz w:val="18"/>
              </w:rPr>
              <w:t>年初预算</w:t>
            </w:r>
          </w:p>
        </w:tc>
        <w:tc>
          <w:tcPr>
            <w:tcW w:w="1731" w:type="dxa"/>
            <w:shd w:val="clear" w:color="auto" w:fill="auto"/>
          </w:tcPr>
          <w:p>
            <w:pPr>
              <w:pStyle w:val="42"/>
              <w:spacing w:before="6"/>
              <w:jc w:val="left"/>
              <w:rPr>
                <w:sz w:val="15"/>
              </w:rPr>
            </w:pPr>
          </w:p>
          <w:p>
            <w:pPr>
              <w:pStyle w:val="42"/>
              <w:ind w:left="123" w:right="117"/>
              <w:rPr>
                <w:sz w:val="18"/>
              </w:rPr>
            </w:pPr>
            <w:r>
              <w:rPr>
                <w:sz w:val="18"/>
              </w:rPr>
              <w:t>调整后预算数</w:t>
            </w:r>
          </w:p>
        </w:tc>
        <w:tc>
          <w:tcPr>
            <w:tcW w:w="2468" w:type="dxa"/>
            <w:gridSpan w:val="3"/>
            <w:shd w:val="clear" w:color="auto" w:fill="auto"/>
          </w:tcPr>
          <w:p>
            <w:pPr>
              <w:pStyle w:val="42"/>
              <w:spacing w:before="6"/>
              <w:jc w:val="left"/>
              <w:rPr>
                <w:sz w:val="15"/>
              </w:rPr>
            </w:pPr>
          </w:p>
          <w:p>
            <w:pPr>
              <w:pStyle w:val="42"/>
              <w:ind w:left="784"/>
              <w:jc w:val="left"/>
              <w:rPr>
                <w:sz w:val="18"/>
              </w:rPr>
            </w:pPr>
            <w:r>
              <w:rPr>
                <w:sz w:val="18"/>
              </w:rPr>
              <w:t>预算执行数</w:t>
            </w:r>
          </w:p>
        </w:tc>
        <w:tc>
          <w:tcPr>
            <w:tcW w:w="810" w:type="dxa"/>
            <w:shd w:val="clear" w:color="auto" w:fill="auto"/>
          </w:tcPr>
          <w:p>
            <w:pPr>
              <w:pStyle w:val="42"/>
              <w:spacing w:before="42"/>
              <w:ind w:left="135"/>
              <w:jc w:val="left"/>
              <w:rPr>
                <w:sz w:val="18"/>
              </w:rPr>
            </w:pPr>
            <w:r>
              <w:rPr>
                <w:sz w:val="18"/>
              </w:rPr>
              <w:t>预算执</w:t>
            </w:r>
          </w:p>
          <w:p>
            <w:pPr>
              <w:pStyle w:val="42"/>
              <w:spacing w:before="81"/>
              <w:ind w:left="224"/>
              <w:jc w:val="left"/>
              <w:rPr>
                <w:sz w:val="18"/>
              </w:rPr>
            </w:pPr>
            <w:r>
              <w:rPr>
                <w:sz w:val="18"/>
              </w:rPr>
              <w:t>行率</w:t>
            </w:r>
          </w:p>
        </w:tc>
        <w:tc>
          <w:tcPr>
            <w:tcW w:w="557" w:type="dxa"/>
            <w:shd w:val="clear" w:color="auto" w:fill="auto"/>
          </w:tcPr>
          <w:p>
            <w:pPr>
              <w:pStyle w:val="42"/>
              <w:spacing w:before="42"/>
              <w:ind w:left="186"/>
              <w:jc w:val="left"/>
              <w:rPr>
                <w:sz w:val="18"/>
              </w:rPr>
            </w:pPr>
            <w:r>
              <w:rPr>
                <w:sz w:val="18"/>
              </w:rPr>
              <w:t>权</w:t>
            </w:r>
          </w:p>
          <w:p>
            <w:pPr>
              <w:pStyle w:val="42"/>
              <w:spacing w:before="81"/>
              <w:ind w:left="186"/>
              <w:jc w:val="left"/>
              <w:rPr>
                <w:sz w:val="18"/>
              </w:rPr>
            </w:pPr>
            <w:r>
              <w:rPr>
                <w:sz w:val="18"/>
              </w:rPr>
              <w:t>重</w:t>
            </w:r>
          </w:p>
        </w:tc>
        <w:tc>
          <w:tcPr>
            <w:tcW w:w="576" w:type="dxa"/>
            <w:shd w:val="clear" w:color="auto" w:fill="auto"/>
          </w:tcPr>
          <w:p>
            <w:pPr>
              <w:pStyle w:val="42"/>
              <w:spacing w:before="6"/>
              <w:jc w:val="left"/>
              <w:rPr>
                <w:sz w:val="15"/>
              </w:rPr>
            </w:pPr>
          </w:p>
          <w:p>
            <w:pPr>
              <w:pStyle w:val="42"/>
              <w:ind w:left="107"/>
              <w:jc w:val="left"/>
              <w:rPr>
                <w:sz w:val="18"/>
              </w:rPr>
            </w:pPr>
            <w:r>
              <w:rPr>
                <w:sz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56" w:hRule="atLeast"/>
        </w:trPr>
        <w:tc>
          <w:tcPr>
            <w:tcW w:w="576" w:type="dxa"/>
            <w:vMerge w:val="continue"/>
            <w:tcBorders>
              <w:top w:val="nil"/>
            </w:tcBorders>
            <w:shd w:val="clear" w:color="auto" w:fill="auto"/>
          </w:tcPr>
          <w:p>
            <w:pPr>
              <w:rPr>
                <w:sz w:val="2"/>
                <w:szCs w:val="2"/>
              </w:rPr>
            </w:pPr>
          </w:p>
        </w:tc>
        <w:tc>
          <w:tcPr>
            <w:tcW w:w="1368" w:type="dxa"/>
            <w:shd w:val="clear" w:color="auto" w:fill="auto"/>
          </w:tcPr>
          <w:p>
            <w:pPr>
              <w:pStyle w:val="42"/>
              <w:spacing w:before="80"/>
              <w:ind w:left="123" w:right="114"/>
              <w:rPr>
                <w:sz w:val="18"/>
              </w:rPr>
            </w:pPr>
            <w:r>
              <w:rPr>
                <w:sz w:val="18"/>
              </w:rPr>
              <w:t>总额</w:t>
            </w:r>
          </w:p>
        </w:tc>
        <w:tc>
          <w:tcPr>
            <w:tcW w:w="1080" w:type="dxa"/>
            <w:shd w:val="clear" w:color="auto" w:fill="auto"/>
          </w:tcPr>
          <w:p>
            <w:pPr>
              <w:pStyle w:val="42"/>
              <w:spacing w:before="80"/>
              <w:ind w:left="158" w:right="150"/>
              <w:rPr>
                <w:sz w:val="18"/>
              </w:rPr>
            </w:pPr>
            <w:r>
              <w:rPr>
                <w:rFonts w:hint="eastAsia"/>
                <w:sz w:val="18"/>
                <w:lang w:val="en-US" w:eastAsia="zh-CN"/>
              </w:rPr>
              <w:t>119</w:t>
            </w:r>
            <w:r>
              <w:rPr>
                <w:sz w:val="18"/>
              </w:rPr>
              <w:t>.00</w:t>
            </w:r>
          </w:p>
        </w:tc>
        <w:tc>
          <w:tcPr>
            <w:tcW w:w="1731" w:type="dxa"/>
            <w:shd w:val="clear" w:color="auto" w:fill="auto"/>
          </w:tcPr>
          <w:p>
            <w:pPr>
              <w:pStyle w:val="42"/>
              <w:spacing w:before="80"/>
              <w:ind w:left="123" w:right="113"/>
              <w:rPr>
                <w:sz w:val="18"/>
              </w:rPr>
            </w:pPr>
            <w:r>
              <w:rPr>
                <w:rFonts w:hint="eastAsia"/>
                <w:sz w:val="18"/>
                <w:lang w:val="en-US" w:eastAsia="zh-CN"/>
              </w:rPr>
              <w:t>119</w:t>
            </w:r>
            <w:r>
              <w:rPr>
                <w:sz w:val="18"/>
              </w:rPr>
              <w:t>.00</w:t>
            </w:r>
          </w:p>
        </w:tc>
        <w:tc>
          <w:tcPr>
            <w:tcW w:w="2468" w:type="dxa"/>
            <w:gridSpan w:val="3"/>
            <w:shd w:val="clear" w:color="auto" w:fill="auto"/>
          </w:tcPr>
          <w:p>
            <w:pPr>
              <w:pStyle w:val="42"/>
              <w:spacing w:before="80"/>
              <w:ind w:left="944" w:right="933"/>
              <w:rPr>
                <w:sz w:val="18"/>
              </w:rPr>
            </w:pPr>
            <w:r>
              <w:rPr>
                <w:rFonts w:hint="eastAsia"/>
                <w:sz w:val="18"/>
                <w:lang w:val="en-US" w:eastAsia="zh-CN"/>
              </w:rPr>
              <w:t>119</w:t>
            </w:r>
            <w:r>
              <w:rPr>
                <w:sz w:val="18"/>
              </w:rPr>
              <w:t>.00</w:t>
            </w:r>
          </w:p>
        </w:tc>
        <w:tc>
          <w:tcPr>
            <w:tcW w:w="810" w:type="dxa"/>
            <w:shd w:val="clear" w:color="auto" w:fill="auto"/>
          </w:tcPr>
          <w:p>
            <w:pPr>
              <w:pStyle w:val="42"/>
              <w:spacing w:before="80"/>
              <w:ind w:left="115" w:right="104"/>
              <w:rPr>
                <w:sz w:val="18"/>
              </w:rPr>
            </w:pPr>
            <w:r>
              <w:rPr>
                <w:rFonts w:hint="eastAsia"/>
                <w:sz w:val="18"/>
                <w:lang w:val="en-US" w:eastAsia="zh-CN"/>
              </w:rPr>
              <w:t>100</w:t>
            </w:r>
            <w:r>
              <w:rPr>
                <w:sz w:val="18"/>
              </w:rPr>
              <w:t>%</w:t>
            </w:r>
          </w:p>
        </w:tc>
        <w:tc>
          <w:tcPr>
            <w:tcW w:w="557" w:type="dxa"/>
            <w:shd w:val="clear" w:color="auto" w:fill="auto"/>
          </w:tcPr>
          <w:p>
            <w:pPr>
              <w:pStyle w:val="42"/>
              <w:spacing w:before="80"/>
              <w:ind w:left="121" w:right="113"/>
              <w:rPr>
                <w:sz w:val="18"/>
              </w:rPr>
            </w:pPr>
            <w:r>
              <w:rPr>
                <w:sz w:val="18"/>
              </w:rPr>
              <w:t>10</w:t>
            </w:r>
          </w:p>
        </w:tc>
        <w:tc>
          <w:tcPr>
            <w:tcW w:w="576" w:type="dxa"/>
            <w:shd w:val="clear" w:color="auto" w:fill="auto"/>
          </w:tcPr>
          <w:p>
            <w:pPr>
              <w:pStyle w:val="42"/>
              <w:spacing w:before="80"/>
              <w:ind w:left="153"/>
              <w:jc w:val="left"/>
              <w:rPr>
                <w:rFonts w:hint="default" w:eastAsia="宋体"/>
                <w:sz w:val="18"/>
                <w:lang w:val="en-US" w:eastAsia="zh-CN"/>
              </w:rPr>
            </w:pPr>
            <w:r>
              <w:rPr>
                <w:rFonts w:hint="eastAsia"/>
                <w:sz w:val="18"/>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576" w:type="dxa"/>
            <w:vMerge w:val="continue"/>
            <w:tcBorders>
              <w:top w:val="nil"/>
            </w:tcBorders>
            <w:shd w:val="clear" w:color="auto" w:fill="auto"/>
          </w:tcPr>
          <w:p>
            <w:pPr>
              <w:rPr>
                <w:sz w:val="2"/>
                <w:szCs w:val="2"/>
              </w:rPr>
            </w:pPr>
          </w:p>
        </w:tc>
        <w:tc>
          <w:tcPr>
            <w:tcW w:w="1368" w:type="dxa"/>
            <w:shd w:val="clear" w:color="auto" w:fill="auto"/>
          </w:tcPr>
          <w:p>
            <w:pPr>
              <w:pStyle w:val="42"/>
              <w:spacing w:before="43"/>
              <w:ind w:left="123" w:right="114"/>
              <w:rPr>
                <w:sz w:val="18"/>
              </w:rPr>
            </w:pPr>
            <w:r>
              <w:rPr>
                <w:sz w:val="18"/>
              </w:rPr>
              <w:t>其中：财政资</w:t>
            </w:r>
          </w:p>
          <w:p>
            <w:pPr>
              <w:pStyle w:val="42"/>
              <w:spacing w:before="81"/>
              <w:ind w:left="7"/>
              <w:rPr>
                <w:sz w:val="18"/>
              </w:rPr>
            </w:pPr>
            <w:r>
              <w:rPr>
                <w:sz w:val="18"/>
              </w:rPr>
              <w:t>金</w:t>
            </w:r>
          </w:p>
        </w:tc>
        <w:tc>
          <w:tcPr>
            <w:tcW w:w="1080" w:type="dxa"/>
            <w:shd w:val="clear" w:color="auto" w:fill="auto"/>
          </w:tcPr>
          <w:p>
            <w:pPr>
              <w:ind w:left="158" w:right="150"/>
              <w:rPr>
                <w:sz w:val="18"/>
              </w:rPr>
            </w:pPr>
            <w:r>
              <w:rPr>
                <w:rFonts w:hint="eastAsia"/>
                <w:sz w:val="18"/>
                <w:lang w:val="en-US" w:eastAsia="zh-CN"/>
              </w:rPr>
              <w:t>119</w:t>
            </w:r>
            <w:r>
              <w:rPr>
                <w:sz w:val="18"/>
              </w:rPr>
              <w:t>.00</w:t>
            </w:r>
          </w:p>
        </w:tc>
        <w:tc>
          <w:tcPr>
            <w:tcW w:w="1731" w:type="dxa"/>
            <w:shd w:val="clear" w:color="auto" w:fill="auto"/>
          </w:tcPr>
          <w:p>
            <w:pPr>
              <w:ind w:left="123" w:right="113"/>
              <w:rPr>
                <w:sz w:val="18"/>
              </w:rPr>
            </w:pPr>
            <w:r>
              <w:rPr>
                <w:rFonts w:hint="eastAsia"/>
                <w:sz w:val="18"/>
                <w:lang w:val="en-US" w:eastAsia="zh-CN"/>
              </w:rPr>
              <w:t>119</w:t>
            </w:r>
            <w:r>
              <w:rPr>
                <w:sz w:val="18"/>
              </w:rPr>
              <w:t>.00</w:t>
            </w:r>
          </w:p>
        </w:tc>
        <w:tc>
          <w:tcPr>
            <w:tcW w:w="2468" w:type="dxa"/>
            <w:gridSpan w:val="3"/>
            <w:shd w:val="clear" w:color="auto" w:fill="auto"/>
          </w:tcPr>
          <w:p>
            <w:pPr>
              <w:ind w:left="944" w:right="933"/>
              <w:rPr>
                <w:sz w:val="18"/>
              </w:rPr>
            </w:pPr>
            <w:r>
              <w:rPr>
                <w:rFonts w:hint="eastAsia"/>
                <w:sz w:val="18"/>
                <w:lang w:val="en-US" w:eastAsia="zh-CN"/>
              </w:rPr>
              <w:t>119</w:t>
            </w:r>
            <w:r>
              <w:rPr>
                <w:sz w:val="18"/>
              </w:rPr>
              <w:t>.00</w:t>
            </w:r>
          </w:p>
        </w:tc>
        <w:tc>
          <w:tcPr>
            <w:tcW w:w="810" w:type="dxa"/>
            <w:shd w:val="clear" w:color="auto" w:fill="auto"/>
          </w:tcPr>
          <w:p>
            <w:pPr>
              <w:pStyle w:val="42"/>
              <w:spacing w:before="7"/>
              <w:jc w:val="left"/>
              <w:rPr>
                <w:sz w:val="15"/>
              </w:rPr>
            </w:pPr>
          </w:p>
          <w:p>
            <w:pPr>
              <w:pStyle w:val="42"/>
              <w:ind w:left="115" w:right="104"/>
              <w:rPr>
                <w:sz w:val="18"/>
              </w:rPr>
            </w:pPr>
            <w:r>
              <w:rPr>
                <w:rFonts w:hint="eastAsia"/>
                <w:sz w:val="18"/>
                <w:lang w:val="en-US" w:eastAsia="zh-CN"/>
              </w:rPr>
              <w:t>100</w:t>
            </w:r>
            <w:r>
              <w:rPr>
                <w:sz w:val="18"/>
              </w:rPr>
              <w:t>%</w:t>
            </w:r>
          </w:p>
        </w:tc>
        <w:tc>
          <w:tcPr>
            <w:tcW w:w="557" w:type="dxa"/>
            <w:shd w:val="clear" w:color="auto" w:fill="auto"/>
          </w:tcPr>
          <w:p>
            <w:pPr>
              <w:pStyle w:val="42"/>
              <w:spacing w:before="7"/>
              <w:jc w:val="left"/>
              <w:rPr>
                <w:sz w:val="15"/>
              </w:rPr>
            </w:pPr>
          </w:p>
          <w:p>
            <w:pPr>
              <w:pStyle w:val="42"/>
              <w:ind w:left="8"/>
              <w:rPr>
                <w:sz w:val="18"/>
              </w:rPr>
            </w:pPr>
            <w:r>
              <w:rPr>
                <w:sz w:val="18"/>
              </w:rPr>
              <w:t>/</w:t>
            </w:r>
          </w:p>
        </w:tc>
        <w:tc>
          <w:tcPr>
            <w:tcW w:w="576" w:type="dxa"/>
            <w:shd w:val="clear" w:color="auto" w:fill="auto"/>
          </w:tcPr>
          <w:p>
            <w:pPr>
              <w:pStyle w:val="42"/>
              <w:spacing w:before="7"/>
              <w:jc w:val="left"/>
              <w:rPr>
                <w:sz w:val="15"/>
              </w:rPr>
            </w:pPr>
          </w:p>
          <w:p>
            <w:pPr>
              <w:pStyle w:val="42"/>
              <w:ind w:left="7"/>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576" w:type="dxa"/>
            <w:vMerge w:val="continue"/>
            <w:tcBorders>
              <w:top w:val="nil"/>
            </w:tcBorders>
            <w:shd w:val="clear" w:color="auto" w:fill="auto"/>
          </w:tcPr>
          <w:p>
            <w:pPr>
              <w:rPr>
                <w:sz w:val="2"/>
                <w:szCs w:val="2"/>
              </w:rPr>
            </w:pPr>
          </w:p>
        </w:tc>
        <w:tc>
          <w:tcPr>
            <w:tcW w:w="1368" w:type="dxa"/>
            <w:shd w:val="clear" w:color="auto" w:fill="auto"/>
          </w:tcPr>
          <w:p>
            <w:pPr>
              <w:pStyle w:val="42"/>
              <w:spacing w:before="43"/>
              <w:ind w:left="123" w:right="114"/>
              <w:rPr>
                <w:sz w:val="18"/>
              </w:rPr>
            </w:pPr>
            <w:r>
              <w:rPr>
                <w:sz w:val="18"/>
              </w:rPr>
              <w:t>财政专户管理</w:t>
            </w:r>
          </w:p>
          <w:p>
            <w:pPr>
              <w:pStyle w:val="42"/>
              <w:spacing w:before="81"/>
              <w:ind w:left="123" w:right="114"/>
              <w:rPr>
                <w:sz w:val="18"/>
              </w:rPr>
            </w:pPr>
            <w:r>
              <w:rPr>
                <w:sz w:val="18"/>
              </w:rPr>
              <w:t>资金</w:t>
            </w:r>
          </w:p>
        </w:tc>
        <w:tc>
          <w:tcPr>
            <w:tcW w:w="1080" w:type="dxa"/>
            <w:shd w:val="clear" w:color="auto" w:fill="auto"/>
          </w:tcPr>
          <w:p>
            <w:pPr>
              <w:pStyle w:val="42"/>
              <w:spacing w:before="6"/>
              <w:jc w:val="left"/>
              <w:rPr>
                <w:sz w:val="15"/>
              </w:rPr>
            </w:pPr>
          </w:p>
          <w:p>
            <w:pPr>
              <w:pStyle w:val="42"/>
              <w:ind w:left="159" w:right="148"/>
              <w:rPr>
                <w:sz w:val="18"/>
              </w:rPr>
            </w:pPr>
            <w:r>
              <w:rPr>
                <w:sz w:val="18"/>
              </w:rPr>
              <w:t>0.00</w:t>
            </w:r>
          </w:p>
        </w:tc>
        <w:tc>
          <w:tcPr>
            <w:tcW w:w="1731" w:type="dxa"/>
            <w:shd w:val="clear" w:color="auto" w:fill="auto"/>
          </w:tcPr>
          <w:p>
            <w:pPr>
              <w:pStyle w:val="42"/>
              <w:spacing w:before="6"/>
              <w:jc w:val="left"/>
              <w:rPr>
                <w:sz w:val="15"/>
              </w:rPr>
            </w:pPr>
          </w:p>
          <w:p>
            <w:pPr>
              <w:pStyle w:val="42"/>
              <w:ind w:left="123" w:right="115"/>
              <w:rPr>
                <w:sz w:val="18"/>
              </w:rPr>
            </w:pPr>
            <w:r>
              <w:rPr>
                <w:sz w:val="18"/>
              </w:rPr>
              <w:t>0.00</w:t>
            </w:r>
          </w:p>
        </w:tc>
        <w:tc>
          <w:tcPr>
            <w:tcW w:w="2468" w:type="dxa"/>
            <w:gridSpan w:val="3"/>
            <w:shd w:val="clear" w:color="auto" w:fill="auto"/>
          </w:tcPr>
          <w:p>
            <w:pPr>
              <w:pStyle w:val="42"/>
              <w:spacing w:before="6"/>
              <w:jc w:val="left"/>
              <w:rPr>
                <w:sz w:val="15"/>
              </w:rPr>
            </w:pPr>
          </w:p>
          <w:p>
            <w:pPr>
              <w:pStyle w:val="42"/>
              <w:ind w:left="942" w:right="933"/>
              <w:rPr>
                <w:sz w:val="18"/>
              </w:rPr>
            </w:pPr>
            <w:r>
              <w:rPr>
                <w:sz w:val="18"/>
              </w:rPr>
              <w:t>0.00</w:t>
            </w:r>
          </w:p>
        </w:tc>
        <w:tc>
          <w:tcPr>
            <w:tcW w:w="810" w:type="dxa"/>
            <w:shd w:val="clear" w:color="auto" w:fill="auto"/>
          </w:tcPr>
          <w:p>
            <w:pPr>
              <w:pStyle w:val="42"/>
              <w:spacing w:before="6"/>
              <w:jc w:val="left"/>
              <w:rPr>
                <w:sz w:val="15"/>
              </w:rPr>
            </w:pPr>
          </w:p>
          <w:p>
            <w:pPr>
              <w:pStyle w:val="42"/>
              <w:ind w:left="111" w:right="104"/>
              <w:rPr>
                <w:sz w:val="18"/>
              </w:rPr>
            </w:pPr>
            <w:r>
              <w:rPr>
                <w:sz w:val="18"/>
              </w:rPr>
              <w:t>0.00%</w:t>
            </w:r>
          </w:p>
        </w:tc>
        <w:tc>
          <w:tcPr>
            <w:tcW w:w="557" w:type="dxa"/>
            <w:shd w:val="clear" w:color="auto" w:fill="auto"/>
          </w:tcPr>
          <w:p>
            <w:pPr>
              <w:pStyle w:val="42"/>
              <w:spacing w:before="6"/>
              <w:jc w:val="left"/>
              <w:rPr>
                <w:sz w:val="15"/>
              </w:rPr>
            </w:pPr>
          </w:p>
          <w:p>
            <w:pPr>
              <w:pStyle w:val="42"/>
              <w:ind w:left="8"/>
              <w:rPr>
                <w:sz w:val="18"/>
              </w:rPr>
            </w:pPr>
            <w:r>
              <w:rPr>
                <w:sz w:val="18"/>
              </w:rPr>
              <w:t>/</w:t>
            </w:r>
          </w:p>
        </w:tc>
        <w:tc>
          <w:tcPr>
            <w:tcW w:w="576" w:type="dxa"/>
            <w:shd w:val="clear" w:color="auto" w:fill="auto"/>
          </w:tcPr>
          <w:p>
            <w:pPr>
              <w:pStyle w:val="42"/>
              <w:spacing w:before="6"/>
              <w:jc w:val="left"/>
              <w:rPr>
                <w:sz w:val="15"/>
              </w:rPr>
            </w:pPr>
          </w:p>
          <w:p>
            <w:pPr>
              <w:pStyle w:val="42"/>
              <w:ind w:left="7"/>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02" w:hRule="atLeast"/>
        </w:trPr>
        <w:tc>
          <w:tcPr>
            <w:tcW w:w="576" w:type="dxa"/>
            <w:vMerge w:val="continue"/>
            <w:tcBorders>
              <w:top w:val="nil"/>
            </w:tcBorders>
            <w:shd w:val="clear" w:color="auto" w:fill="auto"/>
          </w:tcPr>
          <w:p>
            <w:pPr>
              <w:rPr>
                <w:sz w:val="2"/>
                <w:szCs w:val="2"/>
              </w:rPr>
            </w:pPr>
          </w:p>
        </w:tc>
        <w:tc>
          <w:tcPr>
            <w:tcW w:w="1368" w:type="dxa"/>
            <w:shd w:val="clear" w:color="auto" w:fill="auto"/>
          </w:tcPr>
          <w:p>
            <w:pPr>
              <w:pStyle w:val="42"/>
              <w:spacing w:before="88"/>
              <w:ind w:left="123" w:right="114"/>
              <w:rPr>
                <w:sz w:val="18"/>
              </w:rPr>
            </w:pPr>
            <w:r>
              <w:rPr>
                <w:sz w:val="18"/>
              </w:rPr>
              <w:t>单位资金</w:t>
            </w:r>
          </w:p>
        </w:tc>
        <w:tc>
          <w:tcPr>
            <w:tcW w:w="1080" w:type="dxa"/>
            <w:shd w:val="clear" w:color="auto" w:fill="auto"/>
          </w:tcPr>
          <w:p>
            <w:pPr>
              <w:pStyle w:val="42"/>
              <w:spacing w:before="88"/>
              <w:ind w:left="159" w:right="148"/>
              <w:rPr>
                <w:sz w:val="18"/>
              </w:rPr>
            </w:pPr>
            <w:r>
              <w:rPr>
                <w:sz w:val="18"/>
              </w:rPr>
              <w:t>0.00</w:t>
            </w:r>
          </w:p>
        </w:tc>
        <w:tc>
          <w:tcPr>
            <w:tcW w:w="1731" w:type="dxa"/>
            <w:shd w:val="clear" w:color="auto" w:fill="auto"/>
          </w:tcPr>
          <w:p>
            <w:pPr>
              <w:pStyle w:val="42"/>
              <w:spacing w:before="88"/>
              <w:ind w:left="123" w:right="115"/>
              <w:rPr>
                <w:sz w:val="18"/>
              </w:rPr>
            </w:pPr>
            <w:r>
              <w:rPr>
                <w:sz w:val="18"/>
              </w:rPr>
              <w:t>0.00</w:t>
            </w:r>
          </w:p>
        </w:tc>
        <w:tc>
          <w:tcPr>
            <w:tcW w:w="2468" w:type="dxa"/>
            <w:gridSpan w:val="3"/>
            <w:shd w:val="clear" w:color="auto" w:fill="auto"/>
          </w:tcPr>
          <w:p>
            <w:pPr>
              <w:pStyle w:val="42"/>
              <w:spacing w:before="88"/>
              <w:ind w:left="942" w:right="933"/>
              <w:rPr>
                <w:sz w:val="18"/>
              </w:rPr>
            </w:pPr>
            <w:r>
              <w:rPr>
                <w:sz w:val="18"/>
              </w:rPr>
              <w:t>0.00</w:t>
            </w:r>
          </w:p>
        </w:tc>
        <w:tc>
          <w:tcPr>
            <w:tcW w:w="810" w:type="dxa"/>
            <w:shd w:val="clear" w:color="auto" w:fill="auto"/>
          </w:tcPr>
          <w:p>
            <w:pPr>
              <w:pStyle w:val="42"/>
              <w:spacing w:before="88"/>
              <w:ind w:left="111" w:right="104"/>
              <w:rPr>
                <w:sz w:val="18"/>
              </w:rPr>
            </w:pPr>
            <w:r>
              <w:rPr>
                <w:sz w:val="18"/>
              </w:rPr>
              <w:t>0.00%</w:t>
            </w:r>
          </w:p>
        </w:tc>
        <w:tc>
          <w:tcPr>
            <w:tcW w:w="557" w:type="dxa"/>
            <w:shd w:val="clear" w:color="auto" w:fill="auto"/>
          </w:tcPr>
          <w:p>
            <w:pPr>
              <w:pStyle w:val="42"/>
              <w:spacing w:before="88"/>
              <w:ind w:left="8"/>
              <w:rPr>
                <w:sz w:val="18"/>
              </w:rPr>
            </w:pPr>
            <w:r>
              <w:rPr>
                <w:sz w:val="18"/>
              </w:rPr>
              <w:t>/</w:t>
            </w:r>
          </w:p>
        </w:tc>
        <w:tc>
          <w:tcPr>
            <w:tcW w:w="576" w:type="dxa"/>
            <w:shd w:val="clear" w:color="auto" w:fill="auto"/>
          </w:tcPr>
          <w:p>
            <w:pPr>
              <w:pStyle w:val="42"/>
              <w:spacing w:before="88"/>
              <w:ind w:left="7"/>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78" w:hRule="atLeast"/>
        </w:trPr>
        <w:tc>
          <w:tcPr>
            <w:tcW w:w="576" w:type="dxa"/>
            <w:vMerge w:val="continue"/>
            <w:tcBorders>
              <w:top w:val="nil"/>
            </w:tcBorders>
            <w:shd w:val="clear" w:color="auto" w:fill="auto"/>
          </w:tcPr>
          <w:p>
            <w:pPr>
              <w:rPr>
                <w:sz w:val="2"/>
                <w:szCs w:val="2"/>
              </w:rPr>
            </w:pPr>
          </w:p>
        </w:tc>
        <w:tc>
          <w:tcPr>
            <w:tcW w:w="1368" w:type="dxa"/>
            <w:shd w:val="clear" w:color="auto" w:fill="auto"/>
          </w:tcPr>
          <w:p>
            <w:pPr>
              <w:pStyle w:val="42"/>
              <w:spacing w:before="74"/>
              <w:ind w:left="123" w:right="114"/>
              <w:rPr>
                <w:sz w:val="18"/>
              </w:rPr>
            </w:pPr>
            <w:r>
              <w:rPr>
                <w:sz w:val="18"/>
              </w:rPr>
              <w:t>其他资金</w:t>
            </w:r>
          </w:p>
        </w:tc>
        <w:tc>
          <w:tcPr>
            <w:tcW w:w="1080" w:type="dxa"/>
            <w:shd w:val="clear" w:color="auto" w:fill="auto"/>
          </w:tcPr>
          <w:p>
            <w:pPr>
              <w:pStyle w:val="42"/>
              <w:jc w:val="left"/>
              <w:rPr>
                <w:rFonts w:ascii="Times New Roman"/>
                <w:sz w:val="20"/>
              </w:rPr>
            </w:pPr>
          </w:p>
        </w:tc>
        <w:tc>
          <w:tcPr>
            <w:tcW w:w="1731" w:type="dxa"/>
            <w:shd w:val="clear" w:color="auto" w:fill="auto"/>
          </w:tcPr>
          <w:p>
            <w:pPr>
              <w:pStyle w:val="42"/>
              <w:jc w:val="left"/>
              <w:rPr>
                <w:rFonts w:ascii="Times New Roman"/>
                <w:sz w:val="20"/>
              </w:rPr>
            </w:pPr>
          </w:p>
        </w:tc>
        <w:tc>
          <w:tcPr>
            <w:tcW w:w="2468" w:type="dxa"/>
            <w:gridSpan w:val="3"/>
            <w:shd w:val="clear" w:color="auto" w:fill="auto"/>
          </w:tcPr>
          <w:p>
            <w:pPr>
              <w:pStyle w:val="42"/>
              <w:jc w:val="left"/>
              <w:rPr>
                <w:rFonts w:ascii="Times New Roman"/>
                <w:sz w:val="20"/>
              </w:rPr>
            </w:pPr>
          </w:p>
        </w:tc>
        <w:tc>
          <w:tcPr>
            <w:tcW w:w="810" w:type="dxa"/>
            <w:shd w:val="clear" w:color="auto" w:fill="auto"/>
          </w:tcPr>
          <w:p>
            <w:pPr>
              <w:pStyle w:val="42"/>
              <w:jc w:val="left"/>
              <w:rPr>
                <w:rFonts w:ascii="Times New Roman"/>
                <w:sz w:val="20"/>
              </w:rPr>
            </w:pPr>
          </w:p>
        </w:tc>
        <w:tc>
          <w:tcPr>
            <w:tcW w:w="557" w:type="dxa"/>
            <w:shd w:val="clear" w:color="auto" w:fill="auto"/>
          </w:tcPr>
          <w:p>
            <w:pPr>
              <w:pStyle w:val="42"/>
              <w:spacing w:before="74"/>
              <w:ind w:left="8"/>
              <w:rPr>
                <w:sz w:val="18"/>
              </w:rPr>
            </w:pPr>
            <w:r>
              <w:rPr>
                <w:sz w:val="18"/>
              </w:rPr>
              <w:t>/</w:t>
            </w:r>
          </w:p>
        </w:tc>
        <w:tc>
          <w:tcPr>
            <w:tcW w:w="576" w:type="dxa"/>
            <w:shd w:val="clear" w:color="auto" w:fill="auto"/>
          </w:tcPr>
          <w:p>
            <w:pPr>
              <w:pStyle w:val="42"/>
              <w:spacing w:before="74"/>
              <w:ind w:left="7"/>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576" w:type="dxa"/>
            <w:vMerge w:val="restart"/>
            <w:shd w:val="clear" w:color="auto" w:fill="auto"/>
          </w:tcPr>
          <w:p>
            <w:pPr>
              <w:pStyle w:val="42"/>
              <w:jc w:val="left"/>
              <w:rPr>
                <w:sz w:val="18"/>
              </w:rPr>
            </w:pPr>
          </w:p>
          <w:p>
            <w:pPr>
              <w:pStyle w:val="42"/>
              <w:jc w:val="left"/>
              <w:rPr>
                <w:sz w:val="18"/>
              </w:rPr>
            </w:pPr>
          </w:p>
          <w:p>
            <w:pPr>
              <w:pStyle w:val="42"/>
              <w:jc w:val="left"/>
              <w:rPr>
                <w:sz w:val="18"/>
              </w:rPr>
            </w:pPr>
          </w:p>
          <w:p>
            <w:pPr>
              <w:pStyle w:val="42"/>
              <w:jc w:val="left"/>
              <w:rPr>
                <w:sz w:val="18"/>
              </w:rPr>
            </w:pPr>
          </w:p>
          <w:p>
            <w:pPr>
              <w:pStyle w:val="42"/>
              <w:jc w:val="left"/>
              <w:rPr>
                <w:sz w:val="18"/>
              </w:rPr>
            </w:pPr>
          </w:p>
          <w:p>
            <w:pPr>
              <w:pStyle w:val="42"/>
              <w:jc w:val="left"/>
              <w:rPr>
                <w:sz w:val="18"/>
              </w:rPr>
            </w:pPr>
          </w:p>
          <w:p>
            <w:pPr>
              <w:pStyle w:val="42"/>
              <w:jc w:val="left"/>
              <w:rPr>
                <w:sz w:val="18"/>
              </w:rPr>
            </w:pPr>
          </w:p>
          <w:p>
            <w:pPr>
              <w:pStyle w:val="42"/>
              <w:jc w:val="left"/>
              <w:rPr>
                <w:sz w:val="21"/>
              </w:rPr>
            </w:pPr>
          </w:p>
          <w:p>
            <w:pPr>
              <w:pStyle w:val="42"/>
              <w:spacing w:line="324" w:lineRule="auto"/>
              <w:ind w:left="107" w:right="96"/>
              <w:jc w:val="left"/>
              <w:rPr>
                <w:sz w:val="18"/>
              </w:rPr>
            </w:pPr>
            <w:r>
              <w:rPr>
                <w:spacing w:val="-2"/>
                <w:sz w:val="18"/>
              </w:rPr>
              <w:t>绩效</w:t>
            </w:r>
            <w:r>
              <w:rPr>
                <w:spacing w:val="-9"/>
                <w:sz w:val="18"/>
              </w:rPr>
              <w:t>指标</w:t>
            </w:r>
          </w:p>
          <w:p>
            <w:pPr>
              <w:pStyle w:val="42"/>
              <w:spacing w:before="1" w:line="324" w:lineRule="auto"/>
              <w:ind w:left="107" w:right="96"/>
              <w:jc w:val="left"/>
              <w:rPr>
                <w:sz w:val="18"/>
              </w:rPr>
            </w:pPr>
            <w:r>
              <w:rPr>
                <w:sz w:val="18"/>
              </w:rPr>
              <w:t>（90</w:t>
            </w:r>
            <w:r>
              <w:rPr>
                <w:spacing w:val="-88"/>
                <w:sz w:val="18"/>
              </w:rPr>
              <w:t xml:space="preserve"> </w:t>
            </w:r>
            <w:r>
              <w:rPr>
                <w:spacing w:val="-9"/>
                <w:sz w:val="18"/>
              </w:rPr>
              <w:t>分</w:t>
            </w:r>
            <w:r>
              <w:rPr>
                <w:spacing w:val="-8"/>
                <w:sz w:val="18"/>
              </w:rPr>
              <w:t>）</w:t>
            </w:r>
          </w:p>
        </w:tc>
        <w:tc>
          <w:tcPr>
            <w:tcW w:w="1368" w:type="dxa"/>
            <w:shd w:val="clear" w:color="auto" w:fill="auto"/>
          </w:tcPr>
          <w:p>
            <w:pPr>
              <w:pStyle w:val="42"/>
              <w:spacing w:before="6"/>
              <w:jc w:val="left"/>
              <w:rPr>
                <w:sz w:val="15"/>
              </w:rPr>
            </w:pPr>
          </w:p>
          <w:p>
            <w:pPr>
              <w:pStyle w:val="42"/>
              <w:spacing w:before="1"/>
              <w:ind w:left="123" w:right="114"/>
              <w:rPr>
                <w:sz w:val="18"/>
              </w:rPr>
            </w:pPr>
            <w:r>
              <w:rPr>
                <w:sz w:val="18"/>
              </w:rPr>
              <w:t>一级指标</w:t>
            </w:r>
          </w:p>
        </w:tc>
        <w:tc>
          <w:tcPr>
            <w:tcW w:w="1080" w:type="dxa"/>
            <w:shd w:val="clear" w:color="auto" w:fill="auto"/>
          </w:tcPr>
          <w:p>
            <w:pPr>
              <w:pStyle w:val="42"/>
              <w:spacing w:before="6"/>
              <w:jc w:val="left"/>
              <w:rPr>
                <w:sz w:val="15"/>
              </w:rPr>
            </w:pPr>
          </w:p>
          <w:p>
            <w:pPr>
              <w:pStyle w:val="42"/>
              <w:spacing w:before="1"/>
              <w:ind w:left="159" w:right="150"/>
              <w:rPr>
                <w:sz w:val="18"/>
              </w:rPr>
            </w:pPr>
            <w:r>
              <w:rPr>
                <w:sz w:val="18"/>
              </w:rPr>
              <w:t>二级指标</w:t>
            </w:r>
          </w:p>
        </w:tc>
        <w:tc>
          <w:tcPr>
            <w:tcW w:w="1731" w:type="dxa"/>
            <w:shd w:val="clear" w:color="auto" w:fill="auto"/>
          </w:tcPr>
          <w:p>
            <w:pPr>
              <w:pStyle w:val="42"/>
              <w:spacing w:before="6"/>
              <w:jc w:val="left"/>
              <w:rPr>
                <w:sz w:val="15"/>
              </w:rPr>
            </w:pPr>
          </w:p>
          <w:p>
            <w:pPr>
              <w:pStyle w:val="42"/>
              <w:spacing w:before="1"/>
              <w:ind w:left="123" w:right="117"/>
              <w:rPr>
                <w:sz w:val="18"/>
              </w:rPr>
            </w:pPr>
            <w:r>
              <w:rPr>
                <w:sz w:val="18"/>
              </w:rPr>
              <w:t>三级指标</w:t>
            </w:r>
          </w:p>
        </w:tc>
        <w:tc>
          <w:tcPr>
            <w:tcW w:w="587" w:type="dxa"/>
            <w:shd w:val="clear" w:color="auto" w:fill="auto"/>
          </w:tcPr>
          <w:p>
            <w:pPr>
              <w:pStyle w:val="42"/>
              <w:spacing w:before="43"/>
              <w:ind w:left="112"/>
              <w:jc w:val="left"/>
              <w:rPr>
                <w:sz w:val="18"/>
              </w:rPr>
            </w:pPr>
            <w:r>
              <w:rPr>
                <w:sz w:val="18"/>
              </w:rPr>
              <w:t>指标</w:t>
            </w:r>
          </w:p>
          <w:p>
            <w:pPr>
              <w:pStyle w:val="42"/>
              <w:spacing w:before="81"/>
              <w:ind w:left="112"/>
              <w:jc w:val="left"/>
              <w:rPr>
                <w:sz w:val="18"/>
              </w:rPr>
            </w:pPr>
            <w:r>
              <w:rPr>
                <w:sz w:val="18"/>
              </w:rPr>
              <w:t>性质</w:t>
            </w:r>
          </w:p>
        </w:tc>
        <w:tc>
          <w:tcPr>
            <w:tcW w:w="1256" w:type="dxa"/>
            <w:shd w:val="clear" w:color="auto" w:fill="auto"/>
          </w:tcPr>
          <w:p>
            <w:pPr>
              <w:pStyle w:val="42"/>
              <w:spacing w:before="6"/>
              <w:jc w:val="left"/>
              <w:rPr>
                <w:sz w:val="15"/>
              </w:rPr>
            </w:pPr>
          </w:p>
          <w:p>
            <w:pPr>
              <w:pStyle w:val="42"/>
              <w:spacing w:before="1"/>
              <w:ind w:left="157" w:right="148"/>
              <w:rPr>
                <w:sz w:val="18"/>
              </w:rPr>
            </w:pPr>
            <w:r>
              <w:rPr>
                <w:sz w:val="18"/>
              </w:rPr>
              <w:t>指标值</w:t>
            </w:r>
          </w:p>
        </w:tc>
        <w:tc>
          <w:tcPr>
            <w:tcW w:w="625" w:type="dxa"/>
            <w:shd w:val="clear" w:color="auto" w:fill="auto"/>
          </w:tcPr>
          <w:p>
            <w:pPr>
              <w:pStyle w:val="42"/>
              <w:spacing w:before="43"/>
              <w:ind w:left="131"/>
              <w:jc w:val="left"/>
              <w:rPr>
                <w:sz w:val="18"/>
              </w:rPr>
            </w:pPr>
            <w:r>
              <w:rPr>
                <w:sz w:val="18"/>
              </w:rPr>
              <w:t>度量</w:t>
            </w:r>
          </w:p>
          <w:p>
            <w:pPr>
              <w:pStyle w:val="42"/>
              <w:spacing w:before="81"/>
              <w:ind w:left="131"/>
              <w:jc w:val="left"/>
              <w:rPr>
                <w:sz w:val="18"/>
              </w:rPr>
            </w:pPr>
            <w:r>
              <w:rPr>
                <w:sz w:val="18"/>
              </w:rPr>
              <w:t>单位</w:t>
            </w:r>
          </w:p>
        </w:tc>
        <w:tc>
          <w:tcPr>
            <w:tcW w:w="810" w:type="dxa"/>
            <w:shd w:val="clear" w:color="auto" w:fill="auto"/>
          </w:tcPr>
          <w:p>
            <w:pPr>
              <w:pStyle w:val="42"/>
              <w:spacing w:before="6"/>
              <w:jc w:val="left"/>
              <w:rPr>
                <w:sz w:val="15"/>
              </w:rPr>
            </w:pPr>
          </w:p>
          <w:p>
            <w:pPr>
              <w:pStyle w:val="42"/>
              <w:spacing w:before="1"/>
              <w:ind w:left="114" w:right="104"/>
              <w:rPr>
                <w:sz w:val="18"/>
              </w:rPr>
            </w:pPr>
            <w:r>
              <w:rPr>
                <w:sz w:val="18"/>
              </w:rPr>
              <w:t>完成值</w:t>
            </w:r>
          </w:p>
        </w:tc>
        <w:tc>
          <w:tcPr>
            <w:tcW w:w="557" w:type="dxa"/>
            <w:shd w:val="clear" w:color="auto" w:fill="auto"/>
          </w:tcPr>
          <w:p>
            <w:pPr>
              <w:pStyle w:val="42"/>
              <w:spacing w:before="43"/>
              <w:ind w:left="186"/>
              <w:jc w:val="left"/>
              <w:rPr>
                <w:sz w:val="18"/>
              </w:rPr>
            </w:pPr>
            <w:r>
              <w:rPr>
                <w:sz w:val="18"/>
              </w:rPr>
              <w:t>权</w:t>
            </w:r>
          </w:p>
          <w:p>
            <w:pPr>
              <w:pStyle w:val="42"/>
              <w:spacing w:before="81"/>
              <w:ind w:left="186"/>
              <w:jc w:val="left"/>
              <w:rPr>
                <w:sz w:val="18"/>
              </w:rPr>
            </w:pPr>
            <w:r>
              <w:rPr>
                <w:sz w:val="18"/>
              </w:rPr>
              <w:t>重</w:t>
            </w:r>
          </w:p>
        </w:tc>
        <w:tc>
          <w:tcPr>
            <w:tcW w:w="576" w:type="dxa"/>
            <w:shd w:val="clear" w:color="auto" w:fill="auto"/>
          </w:tcPr>
          <w:p>
            <w:pPr>
              <w:pStyle w:val="42"/>
              <w:spacing w:before="6"/>
              <w:jc w:val="left"/>
              <w:rPr>
                <w:sz w:val="15"/>
              </w:rPr>
            </w:pPr>
          </w:p>
          <w:p>
            <w:pPr>
              <w:pStyle w:val="42"/>
              <w:spacing w:before="1"/>
              <w:ind w:left="107"/>
              <w:jc w:val="left"/>
              <w:rPr>
                <w:sz w:val="18"/>
              </w:rPr>
            </w:pPr>
            <w:r>
              <w:rPr>
                <w:sz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8" w:hRule="atLeast"/>
        </w:trPr>
        <w:tc>
          <w:tcPr>
            <w:tcW w:w="576" w:type="dxa"/>
            <w:vMerge w:val="continue"/>
            <w:tcBorders>
              <w:top w:val="nil"/>
            </w:tcBorders>
            <w:shd w:val="clear" w:color="auto" w:fill="auto"/>
          </w:tcPr>
          <w:p>
            <w:pPr>
              <w:rPr>
                <w:sz w:val="2"/>
                <w:szCs w:val="2"/>
              </w:rPr>
            </w:pPr>
          </w:p>
        </w:tc>
        <w:tc>
          <w:tcPr>
            <w:tcW w:w="1368" w:type="dxa"/>
            <w:vMerge w:val="restart"/>
            <w:shd w:val="clear" w:color="auto" w:fill="auto"/>
          </w:tcPr>
          <w:p>
            <w:pPr>
              <w:pStyle w:val="42"/>
              <w:jc w:val="left"/>
              <w:rPr>
                <w:sz w:val="18"/>
              </w:rPr>
            </w:pPr>
          </w:p>
          <w:p>
            <w:pPr>
              <w:pStyle w:val="42"/>
              <w:jc w:val="left"/>
              <w:rPr>
                <w:sz w:val="18"/>
              </w:rPr>
            </w:pPr>
          </w:p>
          <w:p>
            <w:pPr>
              <w:pStyle w:val="42"/>
              <w:jc w:val="left"/>
              <w:rPr>
                <w:sz w:val="18"/>
              </w:rPr>
            </w:pPr>
          </w:p>
          <w:p>
            <w:pPr>
              <w:pStyle w:val="42"/>
              <w:jc w:val="left"/>
              <w:rPr>
                <w:sz w:val="18"/>
              </w:rPr>
            </w:pPr>
          </w:p>
          <w:p>
            <w:pPr>
              <w:pStyle w:val="42"/>
              <w:jc w:val="left"/>
              <w:rPr>
                <w:sz w:val="18"/>
              </w:rPr>
            </w:pPr>
          </w:p>
          <w:p>
            <w:pPr>
              <w:pStyle w:val="42"/>
              <w:jc w:val="left"/>
              <w:rPr>
                <w:sz w:val="18"/>
              </w:rPr>
            </w:pPr>
          </w:p>
          <w:p>
            <w:pPr>
              <w:pStyle w:val="42"/>
              <w:spacing w:before="11"/>
              <w:jc w:val="left"/>
              <w:rPr>
                <w:sz w:val="13"/>
              </w:rPr>
            </w:pPr>
          </w:p>
          <w:p>
            <w:pPr>
              <w:pStyle w:val="42"/>
              <w:ind w:left="323"/>
              <w:jc w:val="left"/>
              <w:rPr>
                <w:sz w:val="18"/>
              </w:rPr>
            </w:pPr>
            <w:r>
              <w:rPr>
                <w:sz w:val="18"/>
              </w:rPr>
              <w:t>产出指标</w:t>
            </w:r>
          </w:p>
        </w:tc>
        <w:tc>
          <w:tcPr>
            <w:tcW w:w="1080" w:type="dxa"/>
            <w:vMerge w:val="restart"/>
            <w:shd w:val="clear" w:color="auto" w:fill="auto"/>
          </w:tcPr>
          <w:p>
            <w:pPr>
              <w:pStyle w:val="42"/>
              <w:jc w:val="left"/>
              <w:rPr>
                <w:sz w:val="18"/>
              </w:rPr>
            </w:pPr>
          </w:p>
          <w:p>
            <w:pPr>
              <w:pStyle w:val="42"/>
              <w:jc w:val="left"/>
              <w:rPr>
                <w:sz w:val="18"/>
              </w:rPr>
            </w:pPr>
          </w:p>
          <w:p>
            <w:pPr>
              <w:pStyle w:val="42"/>
              <w:spacing w:before="119"/>
              <w:ind w:left="179"/>
              <w:jc w:val="left"/>
              <w:rPr>
                <w:sz w:val="18"/>
              </w:rPr>
            </w:pPr>
            <w:r>
              <w:rPr>
                <w:sz w:val="18"/>
              </w:rPr>
              <w:t>数量指标</w:t>
            </w:r>
          </w:p>
        </w:tc>
        <w:tc>
          <w:tcPr>
            <w:tcW w:w="1731" w:type="dxa"/>
            <w:shd w:val="clear" w:color="auto" w:fill="auto"/>
          </w:tcPr>
          <w:p>
            <w:pPr>
              <w:pStyle w:val="42"/>
              <w:spacing w:before="54"/>
              <w:ind w:left="123" w:right="117"/>
              <w:rPr>
                <w:sz w:val="18"/>
              </w:rPr>
            </w:pPr>
            <w:r>
              <w:rPr>
                <w:rFonts w:hint="eastAsia"/>
                <w:sz w:val="18"/>
              </w:rPr>
              <w:t>全年垃圾清运次数</w:t>
            </w:r>
          </w:p>
        </w:tc>
        <w:tc>
          <w:tcPr>
            <w:tcW w:w="587" w:type="dxa"/>
            <w:shd w:val="clear" w:color="auto" w:fill="auto"/>
          </w:tcPr>
          <w:p>
            <w:pPr>
              <w:spacing w:before="54"/>
              <w:ind w:left="9"/>
              <w:rPr>
                <w:sz w:val="18"/>
              </w:rPr>
            </w:pPr>
            <w:r>
              <w:rPr>
                <w:sz w:val="18"/>
              </w:rPr>
              <w:t>≥</w:t>
            </w:r>
          </w:p>
        </w:tc>
        <w:tc>
          <w:tcPr>
            <w:tcW w:w="1256" w:type="dxa"/>
            <w:shd w:val="clear" w:color="auto" w:fill="auto"/>
          </w:tcPr>
          <w:p>
            <w:pPr>
              <w:pStyle w:val="42"/>
              <w:spacing w:before="54"/>
              <w:ind w:left="11"/>
              <w:rPr>
                <w:rFonts w:hint="default" w:eastAsia="宋体"/>
                <w:sz w:val="18"/>
                <w:lang w:val="en-US" w:eastAsia="zh-CN"/>
              </w:rPr>
            </w:pPr>
            <w:r>
              <w:rPr>
                <w:rFonts w:hint="eastAsia"/>
                <w:sz w:val="18"/>
                <w:lang w:val="en-US" w:eastAsia="zh-CN"/>
              </w:rPr>
              <w:t>816</w:t>
            </w:r>
          </w:p>
        </w:tc>
        <w:tc>
          <w:tcPr>
            <w:tcW w:w="625" w:type="dxa"/>
            <w:shd w:val="clear" w:color="auto" w:fill="auto"/>
          </w:tcPr>
          <w:p>
            <w:pPr>
              <w:pStyle w:val="42"/>
              <w:spacing w:before="54"/>
              <w:ind w:left="10"/>
              <w:rPr>
                <w:rFonts w:hint="eastAsia" w:eastAsia="宋体"/>
                <w:sz w:val="18"/>
                <w:lang w:eastAsia="zh-CN"/>
              </w:rPr>
            </w:pPr>
            <w:r>
              <w:rPr>
                <w:rFonts w:hint="eastAsia"/>
                <w:sz w:val="18"/>
                <w:lang w:eastAsia="zh-CN"/>
              </w:rPr>
              <w:t>次</w:t>
            </w:r>
          </w:p>
        </w:tc>
        <w:tc>
          <w:tcPr>
            <w:tcW w:w="810" w:type="dxa"/>
            <w:shd w:val="clear" w:color="auto" w:fill="auto"/>
            <w:vAlign w:val="top"/>
          </w:tcPr>
          <w:p>
            <w:pPr>
              <w:pStyle w:val="42"/>
              <w:spacing w:before="54"/>
              <w:ind w:left="11" w:leftChars="0"/>
              <w:rPr>
                <w:rFonts w:ascii="微软雅黑"/>
                <w:sz w:val="16"/>
              </w:rPr>
            </w:pPr>
            <w:r>
              <w:rPr>
                <w:rFonts w:hint="eastAsia"/>
                <w:sz w:val="18"/>
                <w:lang w:val="en-US" w:eastAsia="zh-CN"/>
              </w:rPr>
              <w:t>816</w:t>
            </w:r>
          </w:p>
        </w:tc>
        <w:tc>
          <w:tcPr>
            <w:tcW w:w="557" w:type="dxa"/>
            <w:shd w:val="clear" w:color="auto" w:fill="auto"/>
          </w:tcPr>
          <w:p>
            <w:pPr>
              <w:pStyle w:val="42"/>
              <w:spacing w:before="54"/>
              <w:ind w:left="121" w:right="113"/>
              <w:rPr>
                <w:sz w:val="18"/>
              </w:rPr>
            </w:pPr>
            <w:r>
              <w:rPr>
                <w:sz w:val="18"/>
              </w:rPr>
              <w:t>10</w:t>
            </w:r>
          </w:p>
        </w:tc>
        <w:tc>
          <w:tcPr>
            <w:tcW w:w="576" w:type="dxa"/>
            <w:shd w:val="clear" w:color="auto" w:fill="auto"/>
          </w:tcPr>
          <w:p>
            <w:pPr>
              <w:pStyle w:val="42"/>
              <w:spacing w:before="54"/>
              <w:ind w:left="198"/>
              <w:jc w:val="left"/>
              <w:rPr>
                <w:sz w:val="18"/>
              </w:rPr>
            </w:pPr>
            <w:r>
              <w:rPr>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9" w:hRule="atLeast"/>
        </w:trPr>
        <w:tc>
          <w:tcPr>
            <w:tcW w:w="576" w:type="dxa"/>
            <w:vMerge w:val="continue"/>
            <w:tcBorders>
              <w:top w:val="nil"/>
            </w:tcBorders>
            <w:shd w:val="clear" w:color="auto" w:fill="auto"/>
          </w:tcPr>
          <w:p>
            <w:pPr>
              <w:rPr>
                <w:sz w:val="2"/>
                <w:szCs w:val="2"/>
              </w:rPr>
            </w:pPr>
          </w:p>
        </w:tc>
        <w:tc>
          <w:tcPr>
            <w:tcW w:w="1368" w:type="dxa"/>
            <w:vMerge w:val="continue"/>
            <w:tcBorders>
              <w:top w:val="nil"/>
            </w:tcBorders>
            <w:shd w:val="clear" w:color="auto" w:fill="auto"/>
          </w:tcPr>
          <w:p>
            <w:pPr>
              <w:rPr>
                <w:sz w:val="2"/>
                <w:szCs w:val="2"/>
              </w:rPr>
            </w:pPr>
          </w:p>
        </w:tc>
        <w:tc>
          <w:tcPr>
            <w:tcW w:w="1080" w:type="dxa"/>
            <w:vMerge w:val="continue"/>
            <w:tcBorders>
              <w:top w:val="nil"/>
            </w:tcBorders>
            <w:shd w:val="clear" w:color="auto" w:fill="auto"/>
          </w:tcPr>
          <w:p>
            <w:pPr>
              <w:rPr>
                <w:sz w:val="2"/>
                <w:szCs w:val="2"/>
              </w:rPr>
            </w:pPr>
          </w:p>
        </w:tc>
        <w:tc>
          <w:tcPr>
            <w:tcW w:w="1731" w:type="dxa"/>
            <w:shd w:val="clear" w:color="auto" w:fill="auto"/>
          </w:tcPr>
          <w:p>
            <w:pPr>
              <w:pStyle w:val="42"/>
              <w:spacing w:before="56"/>
              <w:ind w:left="123" w:right="114"/>
              <w:rPr>
                <w:sz w:val="18"/>
              </w:rPr>
            </w:pPr>
            <w:r>
              <w:rPr>
                <w:rFonts w:hint="eastAsia"/>
                <w:sz w:val="18"/>
              </w:rPr>
              <w:t>村能办便民服务平台建设个数</w:t>
            </w:r>
          </w:p>
        </w:tc>
        <w:tc>
          <w:tcPr>
            <w:tcW w:w="587" w:type="dxa"/>
            <w:shd w:val="clear" w:color="auto" w:fill="auto"/>
          </w:tcPr>
          <w:p>
            <w:pPr>
              <w:spacing w:before="56"/>
              <w:ind w:left="9"/>
              <w:rPr>
                <w:sz w:val="18"/>
              </w:rPr>
            </w:pPr>
            <w:r>
              <w:rPr>
                <w:sz w:val="18"/>
              </w:rPr>
              <w:t>≥</w:t>
            </w:r>
          </w:p>
        </w:tc>
        <w:tc>
          <w:tcPr>
            <w:tcW w:w="1256" w:type="dxa"/>
            <w:shd w:val="clear" w:color="auto" w:fill="auto"/>
          </w:tcPr>
          <w:p>
            <w:pPr>
              <w:pStyle w:val="42"/>
              <w:spacing w:before="56"/>
              <w:ind w:left="11"/>
              <w:rPr>
                <w:rFonts w:hint="default" w:eastAsia="宋体"/>
                <w:sz w:val="18"/>
                <w:lang w:val="en-US" w:eastAsia="zh-CN"/>
              </w:rPr>
            </w:pPr>
            <w:r>
              <w:rPr>
                <w:rFonts w:hint="eastAsia"/>
                <w:sz w:val="18"/>
                <w:lang w:val="en-US" w:eastAsia="zh-CN"/>
              </w:rPr>
              <w:t>17</w:t>
            </w:r>
          </w:p>
        </w:tc>
        <w:tc>
          <w:tcPr>
            <w:tcW w:w="625" w:type="dxa"/>
            <w:shd w:val="clear" w:color="auto" w:fill="auto"/>
          </w:tcPr>
          <w:p>
            <w:pPr>
              <w:pStyle w:val="42"/>
              <w:spacing w:before="56"/>
              <w:ind w:left="10"/>
              <w:rPr>
                <w:rFonts w:hint="eastAsia" w:eastAsia="宋体"/>
                <w:sz w:val="18"/>
                <w:lang w:eastAsia="zh-CN"/>
              </w:rPr>
            </w:pPr>
            <w:r>
              <w:rPr>
                <w:rFonts w:hint="eastAsia"/>
                <w:sz w:val="18"/>
                <w:lang w:eastAsia="zh-CN"/>
              </w:rPr>
              <w:t>个</w:t>
            </w:r>
          </w:p>
        </w:tc>
        <w:tc>
          <w:tcPr>
            <w:tcW w:w="810" w:type="dxa"/>
            <w:shd w:val="clear" w:color="auto" w:fill="auto"/>
            <w:vAlign w:val="top"/>
          </w:tcPr>
          <w:p>
            <w:pPr>
              <w:pStyle w:val="42"/>
              <w:spacing w:before="56"/>
              <w:ind w:left="11" w:leftChars="0"/>
              <w:rPr>
                <w:rFonts w:ascii="微软雅黑"/>
                <w:sz w:val="16"/>
              </w:rPr>
            </w:pPr>
            <w:r>
              <w:rPr>
                <w:rFonts w:hint="eastAsia"/>
                <w:sz w:val="18"/>
                <w:lang w:val="en-US" w:eastAsia="zh-CN"/>
              </w:rPr>
              <w:t>17</w:t>
            </w:r>
          </w:p>
        </w:tc>
        <w:tc>
          <w:tcPr>
            <w:tcW w:w="557" w:type="dxa"/>
            <w:shd w:val="clear" w:color="auto" w:fill="auto"/>
          </w:tcPr>
          <w:p>
            <w:pPr>
              <w:pStyle w:val="42"/>
              <w:spacing w:before="56"/>
              <w:ind w:left="121" w:right="113"/>
              <w:rPr>
                <w:sz w:val="18"/>
              </w:rPr>
            </w:pPr>
            <w:r>
              <w:rPr>
                <w:sz w:val="18"/>
              </w:rPr>
              <w:t>10</w:t>
            </w:r>
          </w:p>
        </w:tc>
        <w:tc>
          <w:tcPr>
            <w:tcW w:w="576" w:type="dxa"/>
            <w:shd w:val="clear" w:color="auto" w:fill="auto"/>
          </w:tcPr>
          <w:p>
            <w:pPr>
              <w:pStyle w:val="42"/>
              <w:spacing w:before="56"/>
              <w:ind w:left="198"/>
              <w:jc w:val="left"/>
              <w:rPr>
                <w:sz w:val="18"/>
              </w:rPr>
            </w:pPr>
            <w:r>
              <w:rPr>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4" w:hRule="atLeast"/>
        </w:trPr>
        <w:tc>
          <w:tcPr>
            <w:tcW w:w="576" w:type="dxa"/>
            <w:vMerge w:val="continue"/>
            <w:tcBorders>
              <w:top w:val="nil"/>
            </w:tcBorders>
            <w:shd w:val="clear" w:color="auto" w:fill="auto"/>
          </w:tcPr>
          <w:p>
            <w:pPr>
              <w:rPr>
                <w:sz w:val="2"/>
                <w:szCs w:val="2"/>
              </w:rPr>
            </w:pPr>
          </w:p>
        </w:tc>
        <w:tc>
          <w:tcPr>
            <w:tcW w:w="1368" w:type="dxa"/>
            <w:vMerge w:val="continue"/>
            <w:tcBorders>
              <w:top w:val="nil"/>
            </w:tcBorders>
            <w:shd w:val="clear" w:color="auto" w:fill="auto"/>
          </w:tcPr>
          <w:p>
            <w:pPr>
              <w:rPr>
                <w:sz w:val="2"/>
                <w:szCs w:val="2"/>
              </w:rPr>
            </w:pPr>
          </w:p>
        </w:tc>
        <w:tc>
          <w:tcPr>
            <w:tcW w:w="1080" w:type="dxa"/>
            <w:vMerge w:val="continue"/>
            <w:tcBorders>
              <w:top w:val="nil"/>
            </w:tcBorders>
            <w:shd w:val="clear" w:color="auto" w:fill="auto"/>
          </w:tcPr>
          <w:p>
            <w:pPr>
              <w:rPr>
                <w:sz w:val="2"/>
                <w:szCs w:val="2"/>
              </w:rPr>
            </w:pPr>
          </w:p>
        </w:tc>
        <w:tc>
          <w:tcPr>
            <w:tcW w:w="1731" w:type="dxa"/>
            <w:shd w:val="clear" w:color="auto" w:fill="auto"/>
          </w:tcPr>
          <w:p>
            <w:pPr>
              <w:pStyle w:val="42"/>
              <w:spacing w:before="55"/>
              <w:ind w:left="123" w:right="117"/>
              <w:rPr>
                <w:sz w:val="18"/>
              </w:rPr>
            </w:pPr>
            <w:r>
              <w:rPr>
                <w:rFonts w:hint="eastAsia"/>
                <w:sz w:val="18"/>
              </w:rPr>
              <w:t>村组织活动开展次数</w:t>
            </w:r>
          </w:p>
        </w:tc>
        <w:tc>
          <w:tcPr>
            <w:tcW w:w="587" w:type="dxa"/>
            <w:shd w:val="clear" w:color="auto" w:fill="auto"/>
          </w:tcPr>
          <w:p>
            <w:pPr>
              <w:spacing w:before="55"/>
              <w:ind w:left="9"/>
              <w:rPr>
                <w:sz w:val="18"/>
              </w:rPr>
            </w:pPr>
            <w:r>
              <w:rPr>
                <w:sz w:val="18"/>
              </w:rPr>
              <w:t>≥</w:t>
            </w:r>
          </w:p>
        </w:tc>
        <w:tc>
          <w:tcPr>
            <w:tcW w:w="1256" w:type="dxa"/>
            <w:shd w:val="clear" w:color="auto" w:fill="auto"/>
          </w:tcPr>
          <w:p>
            <w:pPr>
              <w:pStyle w:val="42"/>
              <w:spacing w:before="55"/>
              <w:ind w:left="157" w:right="146"/>
              <w:rPr>
                <w:rFonts w:hint="default" w:eastAsia="宋体"/>
                <w:sz w:val="18"/>
                <w:lang w:val="en-US" w:eastAsia="zh-CN"/>
              </w:rPr>
            </w:pPr>
            <w:r>
              <w:rPr>
                <w:rFonts w:hint="eastAsia"/>
                <w:sz w:val="18"/>
                <w:lang w:val="en-US" w:eastAsia="zh-CN"/>
              </w:rPr>
              <w:t>204</w:t>
            </w:r>
          </w:p>
        </w:tc>
        <w:tc>
          <w:tcPr>
            <w:tcW w:w="625" w:type="dxa"/>
            <w:shd w:val="clear" w:color="auto" w:fill="auto"/>
          </w:tcPr>
          <w:p>
            <w:pPr>
              <w:pStyle w:val="42"/>
              <w:spacing w:before="55"/>
              <w:ind w:left="10"/>
              <w:rPr>
                <w:rFonts w:hint="eastAsia" w:eastAsia="宋体"/>
                <w:sz w:val="18"/>
                <w:lang w:eastAsia="zh-CN"/>
              </w:rPr>
            </w:pPr>
            <w:r>
              <w:rPr>
                <w:rFonts w:hint="eastAsia"/>
                <w:sz w:val="18"/>
                <w:lang w:eastAsia="zh-CN"/>
              </w:rPr>
              <w:t>次</w:t>
            </w:r>
          </w:p>
        </w:tc>
        <w:tc>
          <w:tcPr>
            <w:tcW w:w="810" w:type="dxa"/>
            <w:shd w:val="clear" w:color="auto" w:fill="auto"/>
            <w:vAlign w:val="top"/>
          </w:tcPr>
          <w:p>
            <w:pPr>
              <w:pStyle w:val="42"/>
              <w:spacing w:before="55"/>
              <w:ind w:left="157" w:leftChars="0" w:right="146" w:rightChars="0"/>
              <w:rPr>
                <w:rFonts w:ascii="微软雅黑"/>
                <w:sz w:val="16"/>
              </w:rPr>
            </w:pPr>
            <w:r>
              <w:rPr>
                <w:rFonts w:hint="eastAsia"/>
                <w:sz w:val="18"/>
                <w:lang w:val="en-US" w:eastAsia="zh-CN"/>
              </w:rPr>
              <w:t>204</w:t>
            </w:r>
          </w:p>
        </w:tc>
        <w:tc>
          <w:tcPr>
            <w:tcW w:w="557" w:type="dxa"/>
            <w:shd w:val="clear" w:color="auto" w:fill="auto"/>
          </w:tcPr>
          <w:p>
            <w:pPr>
              <w:pStyle w:val="42"/>
              <w:spacing w:before="55"/>
              <w:ind w:left="121" w:right="113"/>
              <w:rPr>
                <w:sz w:val="18"/>
              </w:rPr>
            </w:pPr>
            <w:r>
              <w:rPr>
                <w:sz w:val="18"/>
              </w:rPr>
              <w:t>10</w:t>
            </w:r>
          </w:p>
        </w:tc>
        <w:tc>
          <w:tcPr>
            <w:tcW w:w="576" w:type="dxa"/>
            <w:shd w:val="clear" w:color="auto" w:fill="auto"/>
          </w:tcPr>
          <w:p>
            <w:pPr>
              <w:pStyle w:val="42"/>
              <w:spacing w:before="55"/>
              <w:ind w:left="198"/>
              <w:jc w:val="left"/>
              <w:rPr>
                <w:sz w:val="18"/>
              </w:rPr>
            </w:pPr>
            <w:r>
              <w:rPr>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9" w:hRule="atLeast"/>
        </w:trPr>
        <w:tc>
          <w:tcPr>
            <w:tcW w:w="576" w:type="dxa"/>
            <w:vMerge w:val="continue"/>
            <w:tcBorders>
              <w:top w:val="nil"/>
            </w:tcBorders>
            <w:shd w:val="clear" w:color="auto" w:fill="auto"/>
          </w:tcPr>
          <w:p>
            <w:pPr>
              <w:rPr>
                <w:sz w:val="2"/>
                <w:szCs w:val="2"/>
              </w:rPr>
            </w:pPr>
          </w:p>
        </w:tc>
        <w:tc>
          <w:tcPr>
            <w:tcW w:w="1368" w:type="dxa"/>
            <w:vMerge w:val="continue"/>
            <w:tcBorders>
              <w:top w:val="nil"/>
            </w:tcBorders>
            <w:shd w:val="clear" w:color="auto" w:fill="auto"/>
          </w:tcPr>
          <w:p>
            <w:pPr>
              <w:rPr>
                <w:sz w:val="2"/>
                <w:szCs w:val="2"/>
              </w:rPr>
            </w:pPr>
          </w:p>
        </w:tc>
        <w:tc>
          <w:tcPr>
            <w:tcW w:w="1080" w:type="dxa"/>
            <w:vMerge w:val="restart"/>
            <w:shd w:val="clear" w:color="auto" w:fill="auto"/>
          </w:tcPr>
          <w:p>
            <w:pPr>
              <w:pStyle w:val="42"/>
              <w:jc w:val="left"/>
              <w:rPr>
                <w:sz w:val="18"/>
              </w:rPr>
            </w:pPr>
          </w:p>
          <w:p>
            <w:pPr>
              <w:pStyle w:val="42"/>
              <w:jc w:val="left"/>
              <w:rPr>
                <w:sz w:val="18"/>
              </w:rPr>
            </w:pPr>
          </w:p>
          <w:p>
            <w:pPr>
              <w:pStyle w:val="42"/>
              <w:spacing w:before="9"/>
              <w:jc w:val="left"/>
              <w:rPr>
                <w:sz w:val="17"/>
              </w:rPr>
            </w:pPr>
          </w:p>
          <w:p>
            <w:pPr>
              <w:pStyle w:val="42"/>
              <w:spacing w:before="1"/>
              <w:ind w:left="179"/>
              <w:jc w:val="left"/>
              <w:rPr>
                <w:sz w:val="18"/>
              </w:rPr>
            </w:pPr>
            <w:r>
              <w:rPr>
                <w:sz w:val="18"/>
              </w:rPr>
              <w:t>质量指标</w:t>
            </w:r>
          </w:p>
        </w:tc>
        <w:tc>
          <w:tcPr>
            <w:tcW w:w="1731" w:type="dxa"/>
            <w:shd w:val="clear" w:color="auto" w:fill="auto"/>
          </w:tcPr>
          <w:p>
            <w:pPr>
              <w:pStyle w:val="42"/>
              <w:spacing w:before="55"/>
              <w:ind w:left="123" w:right="117"/>
              <w:rPr>
                <w:sz w:val="18"/>
              </w:rPr>
            </w:pPr>
            <w:r>
              <w:rPr>
                <w:rFonts w:hint="eastAsia"/>
                <w:sz w:val="18"/>
              </w:rPr>
              <w:t>村基础设施维护、村能办便民服务平台建设等质量</w:t>
            </w:r>
          </w:p>
        </w:tc>
        <w:tc>
          <w:tcPr>
            <w:tcW w:w="587" w:type="dxa"/>
            <w:shd w:val="clear" w:color="auto" w:fill="auto"/>
          </w:tcPr>
          <w:p>
            <w:pPr>
              <w:pStyle w:val="42"/>
              <w:spacing w:before="55"/>
              <w:ind w:left="92" w:right="85"/>
              <w:rPr>
                <w:sz w:val="18"/>
              </w:rPr>
            </w:pPr>
            <w:r>
              <w:rPr>
                <w:sz w:val="18"/>
              </w:rPr>
              <w:t>定性</w:t>
            </w:r>
          </w:p>
        </w:tc>
        <w:tc>
          <w:tcPr>
            <w:tcW w:w="1256" w:type="dxa"/>
            <w:shd w:val="clear" w:color="auto" w:fill="auto"/>
          </w:tcPr>
          <w:p>
            <w:pPr>
              <w:pStyle w:val="42"/>
              <w:spacing w:before="55"/>
              <w:ind w:left="157" w:right="148"/>
              <w:rPr>
                <w:sz w:val="18"/>
              </w:rPr>
            </w:pPr>
            <w:r>
              <w:rPr>
                <w:sz w:val="18"/>
              </w:rPr>
              <w:t>优良中低差</w:t>
            </w:r>
          </w:p>
        </w:tc>
        <w:tc>
          <w:tcPr>
            <w:tcW w:w="625" w:type="dxa"/>
            <w:shd w:val="clear" w:color="auto" w:fill="auto"/>
          </w:tcPr>
          <w:p>
            <w:pPr>
              <w:pStyle w:val="42"/>
              <w:jc w:val="left"/>
              <w:rPr>
                <w:rFonts w:ascii="Times New Roman"/>
                <w:sz w:val="20"/>
              </w:rPr>
            </w:pPr>
          </w:p>
        </w:tc>
        <w:tc>
          <w:tcPr>
            <w:tcW w:w="810" w:type="dxa"/>
            <w:shd w:val="clear" w:color="auto" w:fill="auto"/>
          </w:tcPr>
          <w:p>
            <w:pPr>
              <w:pStyle w:val="42"/>
              <w:spacing w:before="22"/>
              <w:ind w:left="10"/>
              <w:rPr>
                <w:rFonts w:hint="eastAsia" w:ascii="微软雅黑" w:eastAsia="微软雅黑"/>
                <w:sz w:val="16"/>
              </w:rPr>
            </w:pPr>
            <w:r>
              <w:rPr>
                <w:rFonts w:hint="eastAsia" w:ascii="微软雅黑" w:eastAsia="微软雅黑"/>
                <w:w w:val="100"/>
                <w:sz w:val="16"/>
              </w:rPr>
              <w:t>优</w:t>
            </w:r>
          </w:p>
        </w:tc>
        <w:tc>
          <w:tcPr>
            <w:tcW w:w="557" w:type="dxa"/>
            <w:shd w:val="clear" w:color="auto" w:fill="auto"/>
          </w:tcPr>
          <w:p>
            <w:pPr>
              <w:pStyle w:val="42"/>
              <w:spacing w:before="55"/>
              <w:ind w:left="121" w:right="113"/>
              <w:rPr>
                <w:sz w:val="18"/>
              </w:rPr>
            </w:pPr>
            <w:r>
              <w:rPr>
                <w:sz w:val="18"/>
              </w:rPr>
              <w:t>10</w:t>
            </w:r>
          </w:p>
        </w:tc>
        <w:tc>
          <w:tcPr>
            <w:tcW w:w="576" w:type="dxa"/>
            <w:shd w:val="clear" w:color="auto" w:fill="auto"/>
          </w:tcPr>
          <w:p>
            <w:pPr>
              <w:pStyle w:val="42"/>
              <w:spacing w:before="55"/>
              <w:ind w:left="198"/>
              <w:jc w:val="left"/>
              <w:rPr>
                <w:sz w:val="18"/>
              </w:rPr>
            </w:pPr>
            <w:r>
              <w:rPr>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576" w:type="dxa"/>
            <w:vMerge w:val="continue"/>
            <w:tcBorders>
              <w:top w:val="nil"/>
            </w:tcBorders>
            <w:shd w:val="clear" w:color="auto" w:fill="auto"/>
          </w:tcPr>
          <w:p>
            <w:pPr>
              <w:rPr>
                <w:sz w:val="2"/>
                <w:szCs w:val="2"/>
              </w:rPr>
            </w:pPr>
          </w:p>
        </w:tc>
        <w:tc>
          <w:tcPr>
            <w:tcW w:w="1368" w:type="dxa"/>
            <w:vMerge w:val="continue"/>
            <w:tcBorders>
              <w:top w:val="nil"/>
            </w:tcBorders>
            <w:shd w:val="clear" w:color="auto" w:fill="auto"/>
          </w:tcPr>
          <w:p>
            <w:pPr>
              <w:rPr>
                <w:sz w:val="2"/>
                <w:szCs w:val="2"/>
              </w:rPr>
            </w:pPr>
          </w:p>
        </w:tc>
        <w:tc>
          <w:tcPr>
            <w:tcW w:w="1080" w:type="dxa"/>
            <w:vMerge w:val="continue"/>
            <w:tcBorders>
              <w:top w:val="nil"/>
            </w:tcBorders>
            <w:shd w:val="clear" w:color="auto" w:fill="auto"/>
          </w:tcPr>
          <w:p>
            <w:pPr>
              <w:rPr>
                <w:sz w:val="2"/>
                <w:szCs w:val="2"/>
              </w:rPr>
            </w:pPr>
          </w:p>
        </w:tc>
        <w:tc>
          <w:tcPr>
            <w:tcW w:w="1731" w:type="dxa"/>
            <w:shd w:val="clear" w:color="auto" w:fill="auto"/>
          </w:tcPr>
          <w:p>
            <w:pPr>
              <w:pStyle w:val="42"/>
              <w:spacing w:before="81"/>
              <w:ind w:left="123" w:right="117"/>
              <w:rPr>
                <w:sz w:val="18"/>
              </w:rPr>
            </w:pPr>
            <w:r>
              <w:rPr>
                <w:rFonts w:hint="eastAsia"/>
                <w:sz w:val="18"/>
              </w:rPr>
              <w:t xml:space="preserve"> 环境卫生、村容村貌</w:t>
            </w:r>
          </w:p>
        </w:tc>
        <w:tc>
          <w:tcPr>
            <w:tcW w:w="587" w:type="dxa"/>
            <w:shd w:val="clear" w:color="auto" w:fill="auto"/>
          </w:tcPr>
          <w:p>
            <w:pPr>
              <w:pStyle w:val="42"/>
              <w:spacing w:before="6"/>
              <w:jc w:val="left"/>
              <w:rPr>
                <w:sz w:val="15"/>
              </w:rPr>
            </w:pPr>
          </w:p>
          <w:p>
            <w:pPr>
              <w:pStyle w:val="42"/>
              <w:ind w:left="92" w:right="85"/>
              <w:rPr>
                <w:sz w:val="18"/>
              </w:rPr>
            </w:pPr>
            <w:r>
              <w:rPr>
                <w:sz w:val="18"/>
              </w:rPr>
              <w:t>定性</w:t>
            </w:r>
          </w:p>
        </w:tc>
        <w:tc>
          <w:tcPr>
            <w:tcW w:w="1256" w:type="dxa"/>
            <w:shd w:val="clear" w:color="auto" w:fill="auto"/>
          </w:tcPr>
          <w:p>
            <w:pPr>
              <w:pStyle w:val="42"/>
              <w:spacing w:before="6"/>
              <w:jc w:val="left"/>
              <w:rPr>
                <w:sz w:val="15"/>
              </w:rPr>
            </w:pPr>
          </w:p>
          <w:p>
            <w:pPr>
              <w:pStyle w:val="42"/>
              <w:ind w:left="157" w:right="148"/>
              <w:rPr>
                <w:sz w:val="18"/>
              </w:rPr>
            </w:pPr>
            <w:r>
              <w:rPr>
                <w:sz w:val="18"/>
              </w:rPr>
              <w:t>优良中低差</w:t>
            </w:r>
          </w:p>
        </w:tc>
        <w:tc>
          <w:tcPr>
            <w:tcW w:w="625" w:type="dxa"/>
            <w:shd w:val="clear" w:color="auto" w:fill="auto"/>
          </w:tcPr>
          <w:p>
            <w:pPr>
              <w:pStyle w:val="42"/>
              <w:jc w:val="left"/>
              <w:rPr>
                <w:rFonts w:ascii="Times New Roman"/>
                <w:sz w:val="20"/>
              </w:rPr>
            </w:pPr>
          </w:p>
        </w:tc>
        <w:tc>
          <w:tcPr>
            <w:tcW w:w="810" w:type="dxa"/>
            <w:shd w:val="clear" w:color="auto" w:fill="auto"/>
          </w:tcPr>
          <w:p>
            <w:pPr>
              <w:pStyle w:val="42"/>
              <w:spacing w:before="165"/>
              <w:ind w:left="10"/>
              <w:rPr>
                <w:rFonts w:hint="eastAsia" w:ascii="微软雅黑" w:eastAsia="微软雅黑"/>
                <w:sz w:val="16"/>
              </w:rPr>
            </w:pPr>
            <w:r>
              <w:rPr>
                <w:rFonts w:hint="eastAsia" w:ascii="微软雅黑" w:eastAsia="微软雅黑"/>
                <w:w w:val="100"/>
                <w:sz w:val="16"/>
              </w:rPr>
              <w:t>优</w:t>
            </w:r>
          </w:p>
        </w:tc>
        <w:tc>
          <w:tcPr>
            <w:tcW w:w="557" w:type="dxa"/>
            <w:shd w:val="clear" w:color="auto" w:fill="auto"/>
          </w:tcPr>
          <w:p>
            <w:pPr>
              <w:pStyle w:val="42"/>
              <w:spacing w:before="6"/>
              <w:jc w:val="left"/>
              <w:rPr>
                <w:sz w:val="15"/>
              </w:rPr>
            </w:pPr>
          </w:p>
          <w:p>
            <w:pPr>
              <w:pStyle w:val="42"/>
              <w:ind w:left="121" w:right="113"/>
              <w:rPr>
                <w:sz w:val="18"/>
              </w:rPr>
            </w:pPr>
            <w:r>
              <w:rPr>
                <w:sz w:val="18"/>
              </w:rPr>
              <w:t>10</w:t>
            </w:r>
          </w:p>
        </w:tc>
        <w:tc>
          <w:tcPr>
            <w:tcW w:w="576" w:type="dxa"/>
            <w:shd w:val="clear" w:color="auto" w:fill="auto"/>
          </w:tcPr>
          <w:p>
            <w:pPr>
              <w:pStyle w:val="42"/>
              <w:spacing w:before="6"/>
              <w:jc w:val="left"/>
              <w:rPr>
                <w:sz w:val="15"/>
              </w:rPr>
            </w:pPr>
          </w:p>
          <w:p>
            <w:pPr>
              <w:pStyle w:val="42"/>
              <w:ind w:left="153"/>
              <w:jc w:val="left"/>
              <w:rPr>
                <w:rFonts w:hint="default" w:eastAsia="宋体"/>
                <w:sz w:val="18"/>
                <w:lang w:val="en-US" w:eastAsia="zh-CN"/>
              </w:rPr>
            </w:pPr>
            <w:r>
              <w:rPr>
                <w:rFonts w:hint="eastAsia"/>
                <w:sz w:val="18"/>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4" w:hRule="atLeast"/>
        </w:trPr>
        <w:tc>
          <w:tcPr>
            <w:tcW w:w="576" w:type="dxa"/>
            <w:vMerge w:val="continue"/>
            <w:tcBorders>
              <w:top w:val="nil"/>
            </w:tcBorders>
            <w:shd w:val="clear" w:color="auto" w:fill="auto"/>
          </w:tcPr>
          <w:p>
            <w:pPr>
              <w:rPr>
                <w:sz w:val="2"/>
                <w:szCs w:val="2"/>
              </w:rPr>
            </w:pPr>
          </w:p>
        </w:tc>
        <w:tc>
          <w:tcPr>
            <w:tcW w:w="1368" w:type="dxa"/>
            <w:vMerge w:val="continue"/>
            <w:tcBorders>
              <w:top w:val="nil"/>
            </w:tcBorders>
            <w:shd w:val="clear" w:color="auto" w:fill="auto"/>
          </w:tcPr>
          <w:p>
            <w:pPr>
              <w:rPr>
                <w:sz w:val="2"/>
                <w:szCs w:val="2"/>
              </w:rPr>
            </w:pPr>
          </w:p>
        </w:tc>
        <w:tc>
          <w:tcPr>
            <w:tcW w:w="1080" w:type="dxa"/>
            <w:vMerge w:val="continue"/>
            <w:tcBorders>
              <w:top w:val="nil"/>
            </w:tcBorders>
            <w:shd w:val="clear" w:color="auto" w:fill="auto"/>
          </w:tcPr>
          <w:p>
            <w:pPr>
              <w:rPr>
                <w:sz w:val="2"/>
                <w:szCs w:val="2"/>
              </w:rPr>
            </w:pPr>
          </w:p>
        </w:tc>
        <w:tc>
          <w:tcPr>
            <w:tcW w:w="1731" w:type="dxa"/>
            <w:shd w:val="clear" w:color="auto" w:fill="auto"/>
          </w:tcPr>
          <w:p>
            <w:pPr>
              <w:pStyle w:val="42"/>
              <w:spacing w:before="81"/>
              <w:ind w:left="9"/>
              <w:rPr>
                <w:sz w:val="18"/>
              </w:rPr>
            </w:pPr>
            <w:r>
              <w:rPr>
                <w:rFonts w:hint="eastAsia"/>
                <w:sz w:val="18"/>
              </w:rPr>
              <w:t>村民环境卫生意识</w:t>
            </w:r>
          </w:p>
        </w:tc>
        <w:tc>
          <w:tcPr>
            <w:tcW w:w="587" w:type="dxa"/>
            <w:shd w:val="clear" w:color="auto" w:fill="auto"/>
          </w:tcPr>
          <w:p>
            <w:pPr>
              <w:pStyle w:val="42"/>
              <w:spacing w:before="5"/>
              <w:jc w:val="left"/>
              <w:rPr>
                <w:sz w:val="15"/>
              </w:rPr>
            </w:pPr>
          </w:p>
          <w:p>
            <w:pPr>
              <w:pStyle w:val="42"/>
              <w:spacing w:before="1"/>
              <w:ind w:left="92" w:right="85"/>
              <w:rPr>
                <w:sz w:val="18"/>
              </w:rPr>
            </w:pPr>
            <w:r>
              <w:rPr>
                <w:sz w:val="18"/>
              </w:rPr>
              <w:t>定性</w:t>
            </w:r>
          </w:p>
        </w:tc>
        <w:tc>
          <w:tcPr>
            <w:tcW w:w="1256" w:type="dxa"/>
            <w:shd w:val="clear" w:color="auto" w:fill="auto"/>
          </w:tcPr>
          <w:p>
            <w:pPr>
              <w:pStyle w:val="42"/>
              <w:spacing w:before="5"/>
              <w:jc w:val="left"/>
              <w:rPr>
                <w:sz w:val="15"/>
              </w:rPr>
            </w:pPr>
          </w:p>
          <w:p>
            <w:pPr>
              <w:pStyle w:val="42"/>
              <w:spacing w:before="1"/>
              <w:ind w:left="157" w:right="148"/>
              <w:rPr>
                <w:sz w:val="18"/>
              </w:rPr>
            </w:pPr>
            <w:r>
              <w:rPr>
                <w:sz w:val="18"/>
              </w:rPr>
              <w:t>优良中低差</w:t>
            </w:r>
          </w:p>
        </w:tc>
        <w:tc>
          <w:tcPr>
            <w:tcW w:w="625" w:type="dxa"/>
            <w:shd w:val="clear" w:color="auto" w:fill="auto"/>
          </w:tcPr>
          <w:p>
            <w:pPr>
              <w:pStyle w:val="42"/>
              <w:jc w:val="left"/>
              <w:rPr>
                <w:rFonts w:ascii="Times New Roman"/>
                <w:sz w:val="20"/>
              </w:rPr>
            </w:pPr>
          </w:p>
        </w:tc>
        <w:tc>
          <w:tcPr>
            <w:tcW w:w="810" w:type="dxa"/>
            <w:shd w:val="clear" w:color="auto" w:fill="auto"/>
          </w:tcPr>
          <w:p>
            <w:pPr>
              <w:pStyle w:val="42"/>
              <w:spacing w:before="164"/>
              <w:ind w:left="10"/>
              <w:rPr>
                <w:rFonts w:hint="eastAsia" w:ascii="微软雅黑" w:eastAsia="微软雅黑"/>
                <w:sz w:val="16"/>
              </w:rPr>
            </w:pPr>
            <w:r>
              <w:rPr>
                <w:rFonts w:hint="eastAsia" w:ascii="微软雅黑" w:eastAsia="微软雅黑"/>
                <w:w w:val="100"/>
                <w:sz w:val="16"/>
              </w:rPr>
              <w:t>优</w:t>
            </w:r>
          </w:p>
        </w:tc>
        <w:tc>
          <w:tcPr>
            <w:tcW w:w="557" w:type="dxa"/>
            <w:shd w:val="clear" w:color="auto" w:fill="auto"/>
          </w:tcPr>
          <w:p>
            <w:pPr>
              <w:pStyle w:val="42"/>
              <w:spacing w:before="5"/>
              <w:jc w:val="left"/>
              <w:rPr>
                <w:sz w:val="15"/>
              </w:rPr>
            </w:pPr>
          </w:p>
          <w:p>
            <w:pPr>
              <w:pStyle w:val="42"/>
              <w:spacing w:before="1"/>
              <w:ind w:left="121" w:right="113"/>
              <w:rPr>
                <w:sz w:val="18"/>
              </w:rPr>
            </w:pPr>
            <w:r>
              <w:rPr>
                <w:sz w:val="18"/>
              </w:rPr>
              <w:t>10</w:t>
            </w:r>
          </w:p>
        </w:tc>
        <w:tc>
          <w:tcPr>
            <w:tcW w:w="576" w:type="dxa"/>
            <w:shd w:val="clear" w:color="auto" w:fill="auto"/>
          </w:tcPr>
          <w:p>
            <w:pPr>
              <w:pStyle w:val="42"/>
              <w:spacing w:before="5"/>
              <w:jc w:val="left"/>
              <w:rPr>
                <w:sz w:val="15"/>
              </w:rPr>
            </w:pPr>
          </w:p>
          <w:p>
            <w:pPr>
              <w:pStyle w:val="42"/>
              <w:spacing w:before="1"/>
              <w:ind w:left="198"/>
              <w:jc w:val="left"/>
              <w:rPr>
                <w:rFonts w:hint="default" w:eastAsia="宋体"/>
                <w:sz w:val="18"/>
                <w:lang w:val="en-US" w:eastAsia="zh-CN"/>
              </w:rPr>
            </w:pPr>
            <w:r>
              <w:rPr>
                <w:rFonts w:hint="eastAsia"/>
                <w:sz w:val="18"/>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8" w:hRule="atLeast"/>
        </w:trPr>
        <w:tc>
          <w:tcPr>
            <w:tcW w:w="576" w:type="dxa"/>
            <w:vMerge w:val="continue"/>
            <w:tcBorders>
              <w:top w:val="nil"/>
            </w:tcBorders>
            <w:shd w:val="clear" w:color="auto" w:fill="auto"/>
          </w:tcPr>
          <w:p>
            <w:pPr>
              <w:rPr>
                <w:sz w:val="2"/>
                <w:szCs w:val="2"/>
              </w:rPr>
            </w:pPr>
          </w:p>
        </w:tc>
        <w:tc>
          <w:tcPr>
            <w:tcW w:w="1368" w:type="dxa"/>
            <w:vMerge w:val="continue"/>
            <w:tcBorders>
              <w:top w:val="nil"/>
            </w:tcBorders>
            <w:shd w:val="clear" w:color="auto" w:fill="auto"/>
          </w:tcPr>
          <w:p>
            <w:pPr>
              <w:rPr>
                <w:sz w:val="2"/>
                <w:szCs w:val="2"/>
              </w:rPr>
            </w:pPr>
          </w:p>
        </w:tc>
        <w:tc>
          <w:tcPr>
            <w:tcW w:w="1080" w:type="dxa"/>
            <w:shd w:val="clear" w:color="auto" w:fill="auto"/>
          </w:tcPr>
          <w:p>
            <w:pPr>
              <w:pStyle w:val="42"/>
              <w:spacing w:before="56"/>
              <w:ind w:left="159" w:right="150"/>
              <w:rPr>
                <w:sz w:val="18"/>
              </w:rPr>
            </w:pPr>
            <w:r>
              <w:rPr>
                <w:sz w:val="18"/>
              </w:rPr>
              <w:t>成本指标</w:t>
            </w:r>
          </w:p>
        </w:tc>
        <w:tc>
          <w:tcPr>
            <w:tcW w:w="1731" w:type="dxa"/>
            <w:shd w:val="clear" w:color="auto" w:fill="auto"/>
          </w:tcPr>
          <w:p>
            <w:pPr>
              <w:pStyle w:val="42"/>
              <w:spacing w:before="56"/>
              <w:ind w:left="123" w:right="114"/>
              <w:rPr>
                <w:sz w:val="18"/>
              </w:rPr>
            </w:pPr>
            <w:r>
              <w:rPr>
                <w:rFonts w:hint="eastAsia"/>
                <w:sz w:val="18"/>
              </w:rPr>
              <w:t>17个村（居）组织活动场所维护、基础设施维护、村能办等经费</w:t>
            </w:r>
          </w:p>
        </w:tc>
        <w:tc>
          <w:tcPr>
            <w:tcW w:w="587" w:type="dxa"/>
            <w:shd w:val="clear" w:color="auto" w:fill="auto"/>
          </w:tcPr>
          <w:p>
            <w:pPr>
              <w:pStyle w:val="42"/>
              <w:spacing w:before="56"/>
              <w:ind w:left="9"/>
              <w:rPr>
                <w:sz w:val="18"/>
              </w:rPr>
            </w:pPr>
            <w:r>
              <w:rPr>
                <w:sz w:val="18"/>
              </w:rPr>
              <w:t>≤</w:t>
            </w:r>
          </w:p>
        </w:tc>
        <w:tc>
          <w:tcPr>
            <w:tcW w:w="1256" w:type="dxa"/>
            <w:shd w:val="clear" w:color="auto" w:fill="auto"/>
          </w:tcPr>
          <w:p>
            <w:pPr>
              <w:pStyle w:val="42"/>
              <w:spacing w:before="56"/>
              <w:ind w:left="156" w:right="148"/>
              <w:rPr>
                <w:rFonts w:hint="default" w:eastAsia="宋体"/>
                <w:sz w:val="18"/>
                <w:lang w:val="en-US" w:eastAsia="zh-CN"/>
              </w:rPr>
            </w:pPr>
            <w:r>
              <w:rPr>
                <w:rFonts w:hint="eastAsia"/>
                <w:sz w:val="18"/>
                <w:lang w:val="en-US" w:eastAsia="zh-CN"/>
              </w:rPr>
              <w:t>119</w:t>
            </w:r>
          </w:p>
        </w:tc>
        <w:tc>
          <w:tcPr>
            <w:tcW w:w="625" w:type="dxa"/>
            <w:shd w:val="clear" w:color="auto" w:fill="auto"/>
          </w:tcPr>
          <w:p>
            <w:pPr>
              <w:pStyle w:val="42"/>
              <w:spacing w:before="56"/>
              <w:ind w:left="111" w:right="103"/>
              <w:rPr>
                <w:sz w:val="18"/>
              </w:rPr>
            </w:pPr>
            <w:r>
              <w:rPr>
                <w:sz w:val="18"/>
              </w:rPr>
              <w:t>万元</w:t>
            </w:r>
          </w:p>
        </w:tc>
        <w:tc>
          <w:tcPr>
            <w:tcW w:w="810" w:type="dxa"/>
            <w:shd w:val="clear" w:color="auto" w:fill="auto"/>
          </w:tcPr>
          <w:p>
            <w:pPr>
              <w:pStyle w:val="42"/>
              <w:spacing w:before="22"/>
              <w:ind w:left="110" w:right="104"/>
              <w:rPr>
                <w:rFonts w:hint="default" w:ascii="微软雅黑" w:eastAsia="宋体"/>
                <w:sz w:val="16"/>
                <w:lang w:val="en-US" w:eastAsia="zh-CN"/>
              </w:rPr>
            </w:pPr>
            <w:r>
              <w:rPr>
                <w:rFonts w:hint="eastAsia" w:ascii="微软雅黑"/>
                <w:sz w:val="16"/>
                <w:lang w:val="en-US" w:eastAsia="zh-CN"/>
              </w:rPr>
              <w:t>119</w:t>
            </w:r>
          </w:p>
        </w:tc>
        <w:tc>
          <w:tcPr>
            <w:tcW w:w="557" w:type="dxa"/>
            <w:shd w:val="clear" w:color="auto" w:fill="auto"/>
          </w:tcPr>
          <w:p>
            <w:pPr>
              <w:pStyle w:val="42"/>
              <w:spacing w:before="56"/>
              <w:ind w:left="121" w:right="113"/>
              <w:rPr>
                <w:sz w:val="18"/>
              </w:rPr>
            </w:pPr>
            <w:r>
              <w:rPr>
                <w:sz w:val="18"/>
              </w:rPr>
              <w:t>10</w:t>
            </w:r>
          </w:p>
        </w:tc>
        <w:tc>
          <w:tcPr>
            <w:tcW w:w="576" w:type="dxa"/>
            <w:shd w:val="clear" w:color="auto" w:fill="auto"/>
          </w:tcPr>
          <w:p>
            <w:pPr>
              <w:pStyle w:val="42"/>
              <w:spacing w:before="56"/>
              <w:ind w:left="198"/>
              <w:jc w:val="left"/>
              <w:rPr>
                <w:sz w:val="18"/>
              </w:rPr>
            </w:pPr>
            <w:r>
              <w:rPr>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36" w:hRule="atLeast"/>
        </w:trPr>
        <w:tc>
          <w:tcPr>
            <w:tcW w:w="576" w:type="dxa"/>
            <w:vMerge w:val="continue"/>
            <w:tcBorders>
              <w:top w:val="nil"/>
            </w:tcBorders>
            <w:shd w:val="clear" w:color="auto" w:fill="auto"/>
          </w:tcPr>
          <w:p>
            <w:pPr>
              <w:rPr>
                <w:sz w:val="2"/>
                <w:szCs w:val="2"/>
              </w:rPr>
            </w:pPr>
          </w:p>
        </w:tc>
        <w:tc>
          <w:tcPr>
            <w:tcW w:w="1368" w:type="dxa"/>
            <w:shd w:val="clear" w:color="auto" w:fill="auto"/>
          </w:tcPr>
          <w:p>
            <w:pPr>
              <w:pStyle w:val="42"/>
              <w:jc w:val="left"/>
              <w:rPr>
                <w:sz w:val="18"/>
              </w:rPr>
            </w:pPr>
          </w:p>
          <w:p>
            <w:pPr>
              <w:pStyle w:val="42"/>
              <w:spacing w:before="124"/>
              <w:ind w:left="121" w:right="114"/>
              <w:rPr>
                <w:sz w:val="18"/>
              </w:rPr>
            </w:pPr>
            <w:r>
              <w:rPr>
                <w:sz w:val="18"/>
              </w:rPr>
              <w:t>满意度指标</w:t>
            </w:r>
          </w:p>
        </w:tc>
        <w:tc>
          <w:tcPr>
            <w:tcW w:w="1080" w:type="dxa"/>
            <w:shd w:val="clear" w:color="auto" w:fill="auto"/>
          </w:tcPr>
          <w:p>
            <w:pPr>
              <w:pStyle w:val="42"/>
              <w:spacing w:before="43" w:line="324" w:lineRule="auto"/>
              <w:ind w:left="179" w:right="168"/>
              <w:rPr>
                <w:sz w:val="18"/>
              </w:rPr>
            </w:pPr>
            <w:r>
              <w:rPr>
                <w:spacing w:val="-1"/>
                <w:sz w:val="18"/>
              </w:rPr>
              <w:t>服务对象满意度指</w:t>
            </w:r>
          </w:p>
          <w:p>
            <w:pPr>
              <w:pStyle w:val="42"/>
              <w:spacing w:before="1"/>
              <w:ind w:left="7"/>
              <w:rPr>
                <w:sz w:val="18"/>
              </w:rPr>
            </w:pPr>
            <w:r>
              <w:rPr>
                <w:sz w:val="18"/>
              </w:rPr>
              <w:t>标</w:t>
            </w:r>
          </w:p>
        </w:tc>
        <w:tc>
          <w:tcPr>
            <w:tcW w:w="1731" w:type="dxa"/>
            <w:shd w:val="clear" w:color="auto" w:fill="auto"/>
          </w:tcPr>
          <w:p>
            <w:pPr>
              <w:pStyle w:val="42"/>
              <w:jc w:val="left"/>
              <w:rPr>
                <w:sz w:val="18"/>
              </w:rPr>
            </w:pPr>
          </w:p>
          <w:p>
            <w:pPr>
              <w:pStyle w:val="42"/>
              <w:spacing w:before="124"/>
              <w:ind w:left="123" w:right="114"/>
              <w:rPr>
                <w:sz w:val="18"/>
              </w:rPr>
            </w:pPr>
            <w:r>
              <w:rPr>
                <w:sz w:val="18"/>
              </w:rPr>
              <w:t>服务对象满意度</w:t>
            </w:r>
          </w:p>
        </w:tc>
        <w:tc>
          <w:tcPr>
            <w:tcW w:w="587" w:type="dxa"/>
            <w:shd w:val="clear" w:color="auto" w:fill="auto"/>
          </w:tcPr>
          <w:p>
            <w:pPr>
              <w:pStyle w:val="42"/>
              <w:jc w:val="left"/>
              <w:rPr>
                <w:sz w:val="18"/>
              </w:rPr>
            </w:pPr>
          </w:p>
          <w:p>
            <w:pPr>
              <w:pStyle w:val="42"/>
              <w:spacing w:before="124"/>
              <w:ind w:left="9"/>
              <w:rPr>
                <w:sz w:val="18"/>
              </w:rPr>
            </w:pPr>
            <w:r>
              <w:rPr>
                <w:sz w:val="18"/>
              </w:rPr>
              <w:t>≥</w:t>
            </w:r>
          </w:p>
        </w:tc>
        <w:tc>
          <w:tcPr>
            <w:tcW w:w="1256" w:type="dxa"/>
            <w:shd w:val="clear" w:color="auto" w:fill="auto"/>
          </w:tcPr>
          <w:p>
            <w:pPr>
              <w:pStyle w:val="42"/>
              <w:spacing w:before="124"/>
              <w:ind w:left="157" w:right="146"/>
              <w:rPr>
                <w:rFonts w:hint="default" w:eastAsia="宋体"/>
                <w:sz w:val="18"/>
                <w:lang w:val="en-US" w:eastAsia="zh-CN"/>
              </w:rPr>
            </w:pPr>
            <w:r>
              <w:rPr>
                <w:rFonts w:hint="eastAsia"/>
                <w:sz w:val="18"/>
                <w:lang w:val="en-US" w:eastAsia="zh-CN"/>
              </w:rPr>
              <w:t>95</w:t>
            </w:r>
          </w:p>
        </w:tc>
        <w:tc>
          <w:tcPr>
            <w:tcW w:w="625" w:type="dxa"/>
            <w:shd w:val="clear" w:color="auto" w:fill="auto"/>
          </w:tcPr>
          <w:p>
            <w:pPr>
              <w:pStyle w:val="42"/>
              <w:jc w:val="left"/>
              <w:rPr>
                <w:sz w:val="18"/>
              </w:rPr>
            </w:pPr>
          </w:p>
          <w:p>
            <w:pPr>
              <w:pStyle w:val="42"/>
              <w:spacing w:before="124"/>
              <w:ind w:left="6"/>
              <w:rPr>
                <w:sz w:val="18"/>
              </w:rPr>
            </w:pPr>
            <w:r>
              <w:rPr>
                <w:sz w:val="18"/>
              </w:rPr>
              <w:t>%</w:t>
            </w:r>
          </w:p>
        </w:tc>
        <w:tc>
          <w:tcPr>
            <w:tcW w:w="810" w:type="dxa"/>
            <w:shd w:val="clear" w:color="auto" w:fill="auto"/>
          </w:tcPr>
          <w:p>
            <w:pPr>
              <w:pStyle w:val="42"/>
              <w:spacing w:before="1"/>
              <w:jc w:val="left"/>
              <w:rPr>
                <w:sz w:val="25"/>
              </w:rPr>
            </w:pPr>
          </w:p>
          <w:p>
            <w:pPr>
              <w:pStyle w:val="42"/>
              <w:ind w:left="113" w:right="104"/>
              <w:rPr>
                <w:rFonts w:hint="default" w:ascii="微软雅黑" w:eastAsia="宋体"/>
                <w:sz w:val="16"/>
                <w:lang w:val="en-US" w:eastAsia="zh-CN"/>
              </w:rPr>
            </w:pPr>
            <w:r>
              <w:rPr>
                <w:rFonts w:hint="eastAsia" w:ascii="微软雅黑"/>
                <w:sz w:val="16"/>
                <w:lang w:val="en-US" w:eastAsia="zh-CN"/>
              </w:rPr>
              <w:t>95</w:t>
            </w:r>
          </w:p>
        </w:tc>
        <w:tc>
          <w:tcPr>
            <w:tcW w:w="557" w:type="dxa"/>
            <w:shd w:val="clear" w:color="auto" w:fill="auto"/>
          </w:tcPr>
          <w:p>
            <w:pPr>
              <w:pStyle w:val="42"/>
              <w:jc w:val="left"/>
              <w:rPr>
                <w:sz w:val="18"/>
              </w:rPr>
            </w:pPr>
          </w:p>
          <w:p>
            <w:pPr>
              <w:pStyle w:val="42"/>
              <w:spacing w:before="124"/>
              <w:ind w:left="121" w:right="113"/>
              <w:rPr>
                <w:sz w:val="18"/>
              </w:rPr>
            </w:pPr>
            <w:r>
              <w:rPr>
                <w:sz w:val="18"/>
              </w:rPr>
              <w:t>10</w:t>
            </w:r>
          </w:p>
        </w:tc>
        <w:tc>
          <w:tcPr>
            <w:tcW w:w="576" w:type="dxa"/>
            <w:shd w:val="clear" w:color="auto" w:fill="auto"/>
          </w:tcPr>
          <w:p>
            <w:pPr>
              <w:pStyle w:val="42"/>
              <w:jc w:val="left"/>
              <w:rPr>
                <w:sz w:val="18"/>
              </w:rPr>
            </w:pPr>
          </w:p>
          <w:p>
            <w:pPr>
              <w:pStyle w:val="42"/>
              <w:spacing w:before="124"/>
              <w:ind w:left="198"/>
              <w:jc w:val="left"/>
              <w:rPr>
                <w:sz w:val="18"/>
              </w:rPr>
            </w:pPr>
            <w:r>
              <w:rPr>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2" w:hRule="atLeast"/>
        </w:trPr>
        <w:tc>
          <w:tcPr>
            <w:tcW w:w="8033" w:type="dxa"/>
            <w:gridSpan w:val="8"/>
            <w:shd w:val="clear" w:color="auto" w:fill="auto"/>
          </w:tcPr>
          <w:p>
            <w:pPr>
              <w:pStyle w:val="42"/>
              <w:spacing w:before="42"/>
              <w:ind w:left="3815" w:right="3808"/>
              <w:rPr>
                <w:sz w:val="18"/>
              </w:rPr>
            </w:pPr>
            <w:r>
              <w:rPr>
                <w:sz w:val="18"/>
              </w:rPr>
              <w:t>合计</w:t>
            </w:r>
          </w:p>
        </w:tc>
        <w:tc>
          <w:tcPr>
            <w:tcW w:w="557" w:type="dxa"/>
            <w:shd w:val="clear" w:color="auto" w:fill="auto"/>
          </w:tcPr>
          <w:p>
            <w:pPr>
              <w:pStyle w:val="42"/>
              <w:spacing w:before="42"/>
              <w:ind w:left="123" w:right="113"/>
              <w:rPr>
                <w:sz w:val="18"/>
              </w:rPr>
            </w:pPr>
            <w:r>
              <w:rPr>
                <w:sz w:val="18"/>
              </w:rPr>
              <w:t>100</w:t>
            </w:r>
          </w:p>
        </w:tc>
        <w:tc>
          <w:tcPr>
            <w:tcW w:w="576" w:type="dxa"/>
            <w:shd w:val="clear" w:color="auto" w:fill="auto"/>
          </w:tcPr>
          <w:p>
            <w:pPr>
              <w:pStyle w:val="42"/>
              <w:spacing w:before="42"/>
              <w:ind w:left="107"/>
              <w:jc w:val="left"/>
              <w:rPr>
                <w:rFonts w:hint="default"/>
                <w:sz w:val="18"/>
                <w:lang w:val="en-US"/>
              </w:rPr>
            </w:pPr>
            <w:r>
              <w:rPr>
                <w:rFonts w:hint="eastAsia"/>
                <w:sz w:val="18"/>
                <w:lang w:val="en-US" w:eastAsia="zh-CN"/>
              </w:rPr>
              <w:t>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2" w:hRule="atLeast"/>
        </w:trPr>
        <w:tc>
          <w:tcPr>
            <w:tcW w:w="8033" w:type="dxa"/>
            <w:gridSpan w:val="8"/>
            <w:shd w:val="clear" w:color="auto" w:fill="auto"/>
          </w:tcPr>
          <w:p>
            <w:pPr>
              <w:pStyle w:val="42"/>
              <w:spacing w:before="42"/>
              <w:ind w:left="3815" w:right="3808"/>
              <w:rPr>
                <w:sz w:val="18"/>
              </w:rPr>
            </w:pPr>
          </w:p>
        </w:tc>
        <w:tc>
          <w:tcPr>
            <w:tcW w:w="557" w:type="dxa"/>
            <w:shd w:val="clear" w:color="auto" w:fill="auto"/>
          </w:tcPr>
          <w:p>
            <w:pPr>
              <w:pStyle w:val="42"/>
              <w:spacing w:before="42"/>
              <w:ind w:left="123" w:right="113"/>
              <w:rPr>
                <w:sz w:val="18"/>
              </w:rPr>
            </w:pPr>
          </w:p>
        </w:tc>
        <w:tc>
          <w:tcPr>
            <w:tcW w:w="576" w:type="dxa"/>
            <w:shd w:val="clear" w:color="auto" w:fill="auto"/>
          </w:tcPr>
          <w:p>
            <w:pPr>
              <w:pStyle w:val="42"/>
              <w:spacing w:before="42"/>
              <w:ind w:left="107"/>
              <w:jc w:val="left"/>
              <w:rPr>
                <w:rFonts w:hint="eastAsia"/>
                <w:sz w:val="18"/>
                <w:lang w:val="en-US" w:eastAsia="zh-CN"/>
              </w:rPr>
            </w:pPr>
          </w:p>
        </w:tc>
      </w:tr>
    </w:tbl>
    <w:p>
      <w:pPr>
        <w:rPr>
          <w:rFonts w:hint="eastAsia" w:ascii="Times New Roman" w:hAnsi="Times New Roman" w:eastAsia="仿宋_GB2312" w:cs="仿宋_GB2312"/>
          <w:sz w:val="32"/>
          <w:szCs w:val="32"/>
          <w:lang w:val="zh-CN" w:eastAsia="zh-CN"/>
        </w:rPr>
      </w:pPr>
    </w:p>
    <w:p>
      <w:pPr>
        <w:pStyle w:val="9"/>
        <w:rPr>
          <w:rFonts w:hint="eastAsia" w:ascii="Times New Roman" w:hAnsi="Times New Roman" w:eastAsia="仿宋_GB2312" w:cs="仿宋_GB2312"/>
          <w:sz w:val="32"/>
          <w:szCs w:val="32"/>
          <w:lang w:val="zh-CN" w:eastAsia="zh-CN"/>
        </w:rPr>
      </w:pPr>
    </w:p>
    <w:p>
      <w:pPr>
        <w:rPr>
          <w:rFonts w:hint="eastAsia" w:ascii="Times New Roman" w:hAnsi="Times New Roman" w:eastAsia="仿宋_GB2312" w:cs="仿宋_GB2312"/>
          <w:sz w:val="32"/>
          <w:szCs w:val="32"/>
          <w:lang w:val="zh-CN" w:eastAsia="zh-CN"/>
        </w:rPr>
      </w:pPr>
    </w:p>
    <w:p>
      <w:pPr>
        <w:rPr>
          <w:rFonts w:hint="eastAsia"/>
          <w:lang w:val="zh-CN" w:eastAsia="zh-CN"/>
        </w:rPr>
      </w:pPr>
    </w:p>
    <w:p>
      <w:pPr>
        <w:snapToGrid w:val="0"/>
        <w:spacing w:line="700" w:lineRule="exact"/>
        <w:jc w:val="center"/>
        <w:textAlignment w:val="baseline"/>
        <w:rPr>
          <w:rFonts w:eastAsia="方正小标宋简体"/>
          <w:sz w:val="44"/>
          <w:szCs w:val="44"/>
        </w:rPr>
      </w:pPr>
      <w:r>
        <w:rPr>
          <w:rFonts w:eastAsia="方正小标宋简体"/>
          <w:sz w:val="44"/>
          <w:szCs w:val="44"/>
        </w:rPr>
        <w:t>广元市昭化区</w:t>
      </w:r>
      <w:r>
        <w:rPr>
          <w:rFonts w:hint="eastAsia" w:eastAsia="方正小标宋简体"/>
          <w:sz w:val="44"/>
          <w:szCs w:val="44"/>
        </w:rPr>
        <w:t>卫子镇人民政府</w:t>
      </w:r>
    </w:p>
    <w:p>
      <w:pPr>
        <w:snapToGrid w:val="0"/>
        <w:spacing w:line="700" w:lineRule="exact"/>
        <w:jc w:val="center"/>
        <w:textAlignment w:val="baseline"/>
        <w:rPr>
          <w:rFonts w:eastAsia="方正小标宋简体"/>
          <w:sz w:val="44"/>
          <w:szCs w:val="44"/>
        </w:rPr>
      </w:pPr>
      <w:r>
        <w:rPr>
          <w:rFonts w:eastAsia="方正小标宋简体"/>
          <w:sz w:val="44"/>
          <w:szCs w:val="44"/>
        </w:rPr>
        <w:t>关于</w:t>
      </w:r>
      <w:r>
        <w:rPr>
          <w:rFonts w:hint="eastAsia" w:eastAsia="方正小标宋简体"/>
          <w:sz w:val="44"/>
          <w:szCs w:val="44"/>
        </w:rPr>
        <w:t>2022年烟叶产业发展资金</w:t>
      </w:r>
      <w:r>
        <w:rPr>
          <w:rFonts w:eastAsia="方正小标宋简体"/>
          <w:sz w:val="44"/>
          <w:szCs w:val="44"/>
        </w:rPr>
        <w:t>项目支出绩效的自评报告</w:t>
      </w:r>
    </w:p>
    <w:p>
      <w:pPr>
        <w:spacing w:after="240" w:line="440" w:lineRule="exact"/>
        <w:jc w:val="center"/>
        <w:textAlignment w:val="baseline"/>
        <w:rPr>
          <w:rFonts w:eastAsia="宋体"/>
          <w:sz w:val="24"/>
          <w:szCs w:val="24"/>
        </w:rPr>
      </w:pPr>
    </w:p>
    <w:p>
      <w:pPr>
        <w:numPr>
          <w:ilvl w:val="0"/>
          <w:numId w:val="9"/>
        </w:numPr>
        <w:spacing w:line="580" w:lineRule="exact"/>
        <w:ind w:firstLine="640" w:firstLineChars="200"/>
        <w:rPr>
          <w:rFonts w:hint="eastAsia" w:ascii="黑体" w:hAnsi="黑体" w:eastAsia="黑体" w:cs="黑体"/>
          <w:sz w:val="32"/>
          <w:szCs w:val="32"/>
          <w:lang w:val="zh-CN"/>
        </w:rPr>
      </w:pPr>
      <w:r>
        <w:rPr>
          <w:rFonts w:hint="eastAsia" w:ascii="黑体" w:hAnsi="黑体" w:eastAsia="黑体" w:cs="黑体"/>
          <w:sz w:val="32"/>
          <w:szCs w:val="32"/>
          <w:lang w:val="zh-CN"/>
        </w:rPr>
        <w:t>项目概况</w:t>
      </w:r>
    </w:p>
    <w:p>
      <w:pPr>
        <w:pStyle w:val="2"/>
        <w:widowControl w:val="0"/>
        <w:numPr>
          <w:ilvl w:val="0"/>
          <w:numId w:val="10"/>
        </w:numPr>
        <w:ind w:firstLine="321" w:firstLineChars="100"/>
        <w:jc w:val="both"/>
        <w:rPr>
          <w:rFonts w:hint="eastAsia" w:ascii="Times New Roman" w:hAnsi="Times New Roman" w:eastAsia="楷体_GB2312" w:cs="Times New Roman"/>
          <w:b/>
          <w:kern w:val="2"/>
          <w:sz w:val="32"/>
          <w:szCs w:val="32"/>
          <w:lang w:val="zh-CN" w:eastAsia="zh-CN" w:bidi="ar-SA"/>
        </w:rPr>
      </w:pPr>
      <w:r>
        <w:rPr>
          <w:rFonts w:hint="eastAsia" w:ascii="Times New Roman" w:hAnsi="Times New Roman" w:eastAsia="楷体_GB2312" w:cs="Times New Roman"/>
          <w:b/>
          <w:kern w:val="2"/>
          <w:sz w:val="32"/>
          <w:szCs w:val="32"/>
          <w:lang w:val="zh-CN" w:eastAsia="zh-CN" w:bidi="ar-SA"/>
        </w:rPr>
        <w:t>项目基本情况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lang w:val="zh-CN" w:eastAsia="zh-CN"/>
        </w:rPr>
      </w:pPr>
      <w:r>
        <w:rPr>
          <w:rFonts w:hint="eastAsia" w:ascii="仿宋_GB2312" w:hAnsi="仿宋_GB2312" w:eastAsia="仿宋_GB2312" w:cs="仿宋_GB2312"/>
          <w:sz w:val="32"/>
          <w:szCs w:val="32"/>
          <w:lang w:val="zh-CN" w:eastAsia="zh-CN"/>
        </w:rPr>
        <w:t>卫子镇2022年烟叶产业发展资金项目为2022年预算指标，金额67.98万元，主要用于完成67.98万元烟叶税收目标任务，加强烤烟产业发展，开展烤烟种植技术培训4次，新建烤房15间（梅树村5间、冯家岭村5间、卫子村5间），烟地整理800亩（保民村400亩，卫子村100亩，冯家岭村100亩，石井铺村100亩，新场村100亩），提高烟农收入，返还烟农发展经费27.19万元。</w:t>
      </w:r>
    </w:p>
    <w:p>
      <w:pPr>
        <w:numPr>
          <w:ilvl w:val="0"/>
          <w:numId w:val="11"/>
        </w:numPr>
        <w:spacing w:line="576" w:lineRule="exact"/>
        <w:ind w:left="0" w:leftChars="0" w:firstLine="642" w:firstLineChars="200"/>
        <w:textAlignment w:val="baseline"/>
        <w:rPr>
          <w:rFonts w:hint="eastAsia" w:ascii="Times New Roman" w:hAnsi="Times New Roman" w:eastAsia="仿宋_GB2312" w:cs="仿宋_GB2312"/>
          <w:sz w:val="32"/>
          <w:szCs w:val="32"/>
          <w:lang w:val="zh-CN" w:eastAsia="zh-CN"/>
        </w:rPr>
      </w:pPr>
      <w:r>
        <w:rPr>
          <w:rFonts w:eastAsia="楷体_GB2312"/>
          <w:b/>
          <w:sz w:val="32"/>
          <w:szCs w:val="32"/>
          <w:lang w:val="zh-CN"/>
        </w:rPr>
        <w:t>项目绩效目标。</w:t>
      </w:r>
      <w:r>
        <w:rPr>
          <w:rFonts w:hint="eastAsia" w:ascii="仿宋_GB2312" w:hAnsi="仿宋_GB2312" w:eastAsia="仿宋_GB2312" w:cs="仿宋_GB2312"/>
          <w:sz w:val="32"/>
          <w:szCs w:val="32"/>
          <w:lang w:val="zh-CN" w:eastAsia="zh-CN"/>
        </w:rPr>
        <w:t>目前完成烟叶税收目标任务，开展烤烟种植技术培训4次，新建烤房15间（梅树村5间、冯家岭村5间、卫子村5间），烟地整理800亩（保民村400亩，卫子村100亩，冯家岭村100亩，石井铺村100亩，新场村100亩），申报返还烟农发展经费12.76万元。项目已完成总额的100%。</w:t>
      </w:r>
    </w:p>
    <w:p>
      <w:pPr>
        <w:pStyle w:val="2"/>
        <w:numPr>
          <w:ilvl w:val="0"/>
          <w:numId w:val="11"/>
        </w:numPr>
        <w:ind w:left="0" w:leftChars="0" w:firstLine="642" w:firstLineChars="200"/>
        <w:rPr>
          <w:rFonts w:hint="eastAsia" w:ascii="Times New Roman" w:hAnsi="Times New Roman" w:eastAsia="楷体_GB2312" w:cs="Times New Roman"/>
          <w:b/>
          <w:kern w:val="2"/>
          <w:sz w:val="32"/>
          <w:szCs w:val="32"/>
          <w:lang w:val="zh-CN" w:eastAsia="zh-CN" w:bidi="ar-SA"/>
        </w:rPr>
      </w:pPr>
      <w:r>
        <w:rPr>
          <w:rFonts w:hint="eastAsia" w:ascii="Times New Roman" w:hAnsi="Times New Roman" w:eastAsia="楷体_GB2312" w:cs="Times New Roman"/>
          <w:b/>
          <w:kern w:val="2"/>
          <w:sz w:val="32"/>
          <w:szCs w:val="32"/>
          <w:lang w:val="zh-CN" w:eastAsia="zh-CN" w:bidi="ar-SA"/>
        </w:rPr>
        <w:t>项目自评步骤及方法</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本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村、社区居民建议意见，做好自评工作。</w:t>
      </w:r>
    </w:p>
    <w:p>
      <w:pPr>
        <w:pStyle w:val="7"/>
        <w:ind w:left="871"/>
        <w:rPr>
          <w:rFonts w:hint="eastAsia" w:ascii="黑体" w:hAnsi="黑体" w:eastAsia="黑体" w:cs="黑体"/>
          <w:w w:val="95"/>
          <w:sz w:val="32"/>
          <w:szCs w:val="32"/>
        </w:rPr>
      </w:pPr>
      <w:r>
        <w:rPr>
          <w:rFonts w:hint="eastAsia" w:ascii="黑体" w:hAnsi="黑体" w:eastAsia="黑体" w:cs="黑体"/>
          <w:w w:val="95"/>
          <w:sz w:val="32"/>
          <w:szCs w:val="32"/>
        </w:rPr>
        <w:t>二、项目资金申报及使用情况</w:t>
      </w:r>
    </w:p>
    <w:p>
      <w:pPr>
        <w:widowControl/>
        <w:numPr>
          <w:ilvl w:val="0"/>
          <w:numId w:val="12"/>
        </w:numPr>
        <w:spacing w:line="576" w:lineRule="exact"/>
        <w:ind w:firstLine="642" w:firstLineChars="200"/>
        <w:jc w:val="left"/>
        <w:textAlignment w:val="baseline"/>
        <w:rPr>
          <w:rFonts w:hint="eastAsia" w:ascii="Times New Roman" w:hAnsi="Times New Roman" w:eastAsia="楷体_GB2312" w:cs="Times New Roman"/>
          <w:b/>
          <w:kern w:val="2"/>
          <w:sz w:val="32"/>
          <w:szCs w:val="32"/>
          <w:highlight w:val="none"/>
          <w:lang w:val="zh-CN" w:eastAsia="zh-CN" w:bidi="ar-SA"/>
        </w:rPr>
      </w:pPr>
      <w:r>
        <w:rPr>
          <w:rFonts w:ascii="Times New Roman" w:hAnsi="Times New Roman" w:eastAsia="楷体_GB2312" w:cs="Times New Roman"/>
          <w:b/>
          <w:kern w:val="2"/>
          <w:sz w:val="32"/>
          <w:szCs w:val="32"/>
          <w:highlight w:val="none"/>
          <w:lang w:val="zh-CN" w:eastAsia="zh-CN" w:bidi="ar-SA"/>
        </w:rPr>
        <w:t>项目资金申报及批复情况。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卫子镇2022年烟叶产业发展资金项目为2022年预算指标，金额67.98万元，主要用于完成67.98万元烟叶税收目标任务，加强烤烟产业发展，开展烤烟种植技术培训4次，新建烤房15间（梅树村5间、冯家岭村5间、卫子村5间），烟地整理800亩（保民村400亩，卫子村100亩，冯家岭村100亩，石井铺村100亩，新场村100亩），提高烟农收入，返还烟农发展经费27.19万元，该项目符合资金管理办法等相关规定。</w:t>
      </w:r>
    </w:p>
    <w:p>
      <w:pPr>
        <w:widowControl/>
        <w:numPr>
          <w:ilvl w:val="0"/>
          <w:numId w:val="12"/>
        </w:numPr>
        <w:spacing w:line="576" w:lineRule="exact"/>
        <w:ind w:firstLine="642" w:firstLineChars="200"/>
        <w:jc w:val="left"/>
        <w:textAlignment w:val="baseline"/>
        <w:rPr>
          <w:rFonts w:hint="eastAsia" w:ascii="Times New Roman" w:hAnsi="Times New Roman" w:eastAsia="楷体_GB2312" w:cs="Times New Roman"/>
          <w:b/>
          <w:kern w:val="2"/>
          <w:sz w:val="32"/>
          <w:szCs w:val="32"/>
          <w:highlight w:val="none"/>
          <w:lang w:val="zh-CN" w:eastAsia="zh-CN" w:bidi="ar-SA"/>
        </w:rPr>
      </w:pPr>
      <w:r>
        <w:rPr>
          <w:rFonts w:hint="eastAsia" w:eastAsia="楷体_GB2312" w:cs="Times New Roman"/>
          <w:b/>
          <w:kern w:val="2"/>
          <w:sz w:val="32"/>
          <w:szCs w:val="32"/>
          <w:highlight w:val="none"/>
          <w:lang w:val="zh-CN" w:eastAsia="zh-CN" w:bidi="ar-SA"/>
        </w:rPr>
        <w:t>资金计划、到位及使用情况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eastAsia="zh-CN"/>
        </w:rPr>
        <w:t>资金计划。</w:t>
      </w:r>
      <w:r>
        <w:rPr>
          <w:rFonts w:hint="eastAsia" w:ascii="仿宋_GB2312" w:hAnsi="仿宋_GB2312" w:eastAsia="仿宋_GB2312" w:cs="仿宋_GB2312"/>
          <w:sz w:val="32"/>
          <w:szCs w:val="32"/>
          <w:lang w:val="en-US" w:eastAsia="zh-CN"/>
        </w:rPr>
        <w:t>该</w:t>
      </w:r>
      <w:r>
        <w:rPr>
          <w:rFonts w:hint="eastAsia" w:ascii="仿宋_GB2312" w:hAnsi="仿宋_GB2312" w:eastAsia="仿宋_GB2312" w:cs="仿宋_GB2312"/>
          <w:sz w:val="32"/>
          <w:szCs w:val="32"/>
          <w:lang w:val="zh-CN" w:eastAsia="zh-CN"/>
        </w:rPr>
        <w:t>项目资金来源为财政拨款，总投入为</w:t>
      </w:r>
      <w:r>
        <w:rPr>
          <w:rFonts w:hint="eastAsia" w:ascii="仿宋_GB2312" w:hAnsi="仿宋_GB2312" w:eastAsia="仿宋_GB2312" w:cs="仿宋_GB2312"/>
          <w:sz w:val="32"/>
          <w:szCs w:val="32"/>
          <w:lang w:val="en-US" w:eastAsia="zh-CN"/>
        </w:rPr>
        <w:t>67.98万元。</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资金到位。截止评价时点，该项目</w:t>
      </w:r>
      <w:r>
        <w:rPr>
          <w:rFonts w:hint="eastAsia" w:ascii="仿宋_GB2312" w:hAnsi="仿宋_GB2312" w:eastAsia="仿宋_GB2312" w:cs="仿宋_GB2312"/>
          <w:sz w:val="32"/>
          <w:szCs w:val="32"/>
          <w:lang w:val="en-US" w:eastAsia="zh-CN"/>
        </w:rPr>
        <w:t>资金全部到位，资金到位率100%。</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资金使用。截止评价时点，该项目</w:t>
      </w:r>
      <w:r>
        <w:rPr>
          <w:rFonts w:hint="eastAsia" w:ascii="仿宋_GB2312" w:hAnsi="仿宋_GB2312" w:eastAsia="仿宋_GB2312" w:cs="仿宋_GB2312"/>
          <w:sz w:val="32"/>
          <w:szCs w:val="32"/>
          <w:lang w:val="en-US" w:eastAsia="zh-CN"/>
        </w:rPr>
        <w:t>未支付，资金使用率0%。2023年作为存量资金已全部拨付到位，</w:t>
      </w:r>
      <w:r>
        <w:rPr>
          <w:rFonts w:hint="eastAsia" w:ascii="仿宋_GB2312" w:hAnsi="仿宋_GB2312" w:eastAsia="仿宋_GB2312" w:cs="仿宋_GB2312"/>
          <w:sz w:val="32"/>
          <w:szCs w:val="32"/>
          <w:lang w:val="zh-CN" w:eastAsia="zh-CN"/>
        </w:rPr>
        <w:t>资金使用</w:t>
      </w:r>
      <w:r>
        <w:rPr>
          <w:rFonts w:hint="eastAsia" w:ascii="仿宋_GB2312" w:hAnsi="仿宋_GB2312" w:eastAsia="仿宋_GB2312" w:cs="仿宋_GB2312"/>
          <w:sz w:val="32"/>
          <w:szCs w:val="32"/>
          <w:lang w:val="en-US" w:eastAsia="zh-CN"/>
        </w:rPr>
        <w:t>具有</w:t>
      </w:r>
      <w:r>
        <w:rPr>
          <w:rFonts w:hint="eastAsia" w:ascii="仿宋_GB2312" w:hAnsi="仿宋_GB2312" w:eastAsia="仿宋_GB2312" w:cs="仿宋_GB2312"/>
          <w:sz w:val="32"/>
          <w:szCs w:val="32"/>
          <w:lang w:val="zh-CN" w:eastAsia="zh-CN"/>
        </w:rPr>
        <w:t>安全性、规范性、有效性，</w:t>
      </w:r>
      <w:r>
        <w:rPr>
          <w:rFonts w:hint="eastAsia" w:ascii="仿宋_GB2312" w:hAnsi="仿宋_GB2312" w:eastAsia="仿宋_GB2312" w:cs="仿宋_GB2312"/>
          <w:sz w:val="32"/>
          <w:szCs w:val="32"/>
          <w:lang w:val="en-US" w:eastAsia="zh-CN"/>
        </w:rPr>
        <w:t>严格按照</w:t>
      </w:r>
      <w:r>
        <w:rPr>
          <w:rFonts w:hint="eastAsia" w:ascii="仿宋_GB2312" w:hAnsi="仿宋_GB2312" w:eastAsia="仿宋_GB2312" w:cs="仿宋_GB2312"/>
          <w:sz w:val="32"/>
          <w:szCs w:val="32"/>
          <w:lang w:val="zh-CN" w:eastAsia="zh-CN"/>
        </w:rPr>
        <w:t>资金支付范围、支付标准</w:t>
      </w:r>
      <w:r>
        <w:rPr>
          <w:rFonts w:hint="eastAsia" w:ascii="仿宋_GB2312" w:hAnsi="仿宋_GB2312" w:eastAsia="仿宋_GB2312" w:cs="仿宋_GB2312"/>
          <w:sz w:val="32"/>
          <w:szCs w:val="32"/>
          <w:lang w:val="en-US" w:eastAsia="zh-CN"/>
        </w:rPr>
        <w:t>进行支付，</w:t>
      </w:r>
      <w:r>
        <w:rPr>
          <w:rFonts w:hint="eastAsia" w:ascii="仿宋_GB2312" w:hAnsi="仿宋_GB2312" w:eastAsia="仿宋_GB2312" w:cs="仿宋_GB2312"/>
          <w:sz w:val="32"/>
          <w:szCs w:val="32"/>
          <w:lang w:val="zh-CN" w:eastAsia="zh-CN"/>
        </w:rPr>
        <w:t>支付进度、支付依据合规合法、与预算相符。</w:t>
      </w:r>
    </w:p>
    <w:p>
      <w:pPr>
        <w:widowControl/>
        <w:numPr>
          <w:ilvl w:val="0"/>
          <w:numId w:val="12"/>
        </w:numPr>
        <w:spacing w:line="576" w:lineRule="exact"/>
        <w:ind w:firstLine="642" w:firstLineChars="200"/>
        <w:jc w:val="left"/>
        <w:textAlignment w:val="baseline"/>
        <w:rPr>
          <w:rFonts w:hint="eastAsia" w:ascii="Times New Roman" w:hAnsi="Times New Roman" w:eastAsia="楷体_GB2312" w:cs="Times New Roman"/>
          <w:b/>
          <w:kern w:val="2"/>
          <w:sz w:val="32"/>
          <w:szCs w:val="32"/>
          <w:highlight w:val="none"/>
          <w:lang w:val="zh-CN" w:eastAsia="zh-CN" w:bidi="ar-SA"/>
        </w:rPr>
      </w:pPr>
      <w:r>
        <w:rPr>
          <w:rFonts w:hint="eastAsia" w:eastAsia="楷体_GB2312" w:cs="Times New Roman"/>
          <w:b/>
          <w:kern w:val="2"/>
          <w:sz w:val="32"/>
          <w:szCs w:val="32"/>
          <w:highlight w:val="none"/>
          <w:lang w:val="zh-CN" w:eastAsia="zh-CN" w:bidi="ar-SA"/>
        </w:rPr>
        <w:t>项目财务管理情况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2022年卫子镇烟叶发展资金</w:t>
      </w:r>
      <w:r>
        <w:rPr>
          <w:rFonts w:hint="default" w:ascii="仿宋_GB2312" w:hAnsi="仿宋_GB2312" w:eastAsia="仿宋_GB2312" w:cs="仿宋_GB2312"/>
          <w:sz w:val="32"/>
          <w:szCs w:val="32"/>
          <w:lang w:val="zh-CN" w:eastAsia="zh-CN"/>
        </w:rPr>
        <w:t>按</w:t>
      </w:r>
      <w:r>
        <w:rPr>
          <w:rFonts w:hint="eastAsia" w:ascii="仿宋_GB2312" w:hAnsi="仿宋_GB2312" w:eastAsia="仿宋_GB2312" w:cs="仿宋_GB2312"/>
          <w:sz w:val="32"/>
          <w:szCs w:val="32"/>
          <w:lang w:val="zh-CN" w:eastAsia="zh-CN"/>
        </w:rPr>
        <w:t>昭化</w:t>
      </w:r>
      <w:r>
        <w:rPr>
          <w:rFonts w:hint="default" w:ascii="仿宋_GB2312" w:hAnsi="仿宋_GB2312" w:eastAsia="仿宋_GB2312" w:cs="仿宋_GB2312"/>
          <w:sz w:val="32"/>
          <w:szCs w:val="32"/>
          <w:lang w:val="zh-CN" w:eastAsia="zh-CN"/>
        </w:rPr>
        <w:t>镇财务管理制度规定执行，</w:t>
      </w:r>
      <w:r>
        <w:rPr>
          <w:rFonts w:hint="eastAsia" w:ascii="仿宋_GB2312" w:hAnsi="仿宋_GB2312" w:eastAsia="仿宋_GB2312" w:cs="仿宋_GB2312"/>
          <w:sz w:val="32"/>
          <w:szCs w:val="32"/>
          <w:lang w:val="en-US" w:eastAsia="zh-CN"/>
        </w:rPr>
        <w:t>采取财政直接支付形式，由镇组织申报材料，形成项目专项资金申请报告报送财务部门，由财政所根据项目进度，严格按照项目资金管理办法对资金进行计划申请、划拨至所提供的第三方指定账户，及时、规范对收支进行账务处理和会计核算。对项目资金坚持专款专用、量入为出的原则，并建立好项目专项资金使用台账，加强项目专项资金的财务管理及使用监督管理。</w:t>
      </w:r>
    </w:p>
    <w:p>
      <w:pPr>
        <w:pStyle w:val="7"/>
        <w:spacing w:before="108" w:line="304" w:lineRule="auto"/>
        <w:ind w:left="231" w:right="276" w:firstLine="640" w:firstLineChars="200"/>
        <w:jc w:val="both"/>
        <w:rPr>
          <w:rFonts w:eastAsia="黑体"/>
          <w:sz w:val="32"/>
          <w:szCs w:val="32"/>
        </w:rPr>
      </w:pPr>
      <w:r>
        <w:rPr>
          <w:rFonts w:hint="eastAsia" w:eastAsia="黑体"/>
          <w:sz w:val="32"/>
          <w:szCs w:val="32"/>
          <w:lang w:eastAsia="zh-CN"/>
        </w:rPr>
        <w:t>三</w:t>
      </w:r>
      <w:r>
        <w:rPr>
          <w:rFonts w:eastAsia="黑体"/>
          <w:sz w:val="32"/>
          <w:szCs w:val="32"/>
        </w:rPr>
        <w:t>、项目实施及管理情况</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eastAsia" w:ascii="仿宋_GB2312" w:hAnsi="仿宋_GB2312" w:eastAsia="仿宋_GB2312" w:cs="仿宋_GB2312"/>
          <w:sz w:val="32"/>
          <w:szCs w:val="32"/>
          <w:lang w:val="zh-CN" w:eastAsia="zh-CN"/>
        </w:rPr>
      </w:pPr>
      <w:r>
        <w:rPr>
          <w:rFonts w:hint="eastAsia" w:ascii="仿宋" w:hAnsi="仿宋" w:eastAsia="仿宋" w:cs="Times New Roman"/>
          <w:b/>
          <w:color w:val="auto"/>
          <w:sz w:val="32"/>
          <w:szCs w:val="32"/>
          <w:highlight w:val="none"/>
          <w:lang w:val="zh-CN" w:eastAsia="zh-CN"/>
        </w:rPr>
        <w:t>（一）项目组织架构及实施流程。</w:t>
      </w:r>
      <w:r>
        <w:rPr>
          <w:rFonts w:hint="eastAsia" w:ascii="仿宋_GB2312" w:hAnsi="仿宋_GB2312" w:eastAsia="仿宋_GB2312" w:cs="仿宋_GB2312"/>
          <w:sz w:val="32"/>
          <w:szCs w:val="32"/>
          <w:lang w:val="zh-CN" w:eastAsia="zh-CN"/>
        </w:rPr>
        <w:t>镇党委政府高度重视</w:t>
      </w:r>
      <w:r>
        <w:rPr>
          <w:rFonts w:hint="eastAsia" w:ascii="仿宋_GB2312" w:hAnsi="仿宋_GB2312" w:eastAsia="仿宋_GB2312" w:cs="仿宋_GB2312"/>
          <w:sz w:val="32"/>
          <w:szCs w:val="32"/>
          <w:lang w:val="en-US" w:eastAsia="zh-CN"/>
        </w:rPr>
        <w:t>该项目</w:t>
      </w:r>
      <w:r>
        <w:rPr>
          <w:rFonts w:hint="eastAsia" w:ascii="仿宋_GB2312" w:hAnsi="仿宋_GB2312" w:eastAsia="仿宋_GB2312" w:cs="仿宋_GB2312"/>
          <w:sz w:val="32"/>
          <w:szCs w:val="32"/>
          <w:lang w:val="zh-CN" w:eastAsia="zh-CN"/>
        </w:rPr>
        <w:t>，并成立工作领导小组。以镇党委副书记、镇长为组长，各联村（社区）领导为副组长，财政所负责人、各村（社区书记）为成员。抓牢抓实此项目的实施。</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Calibri" w:eastAsia="仿宋_GB2312" w:cs="仿宋"/>
          <w:color w:val="auto"/>
          <w:kern w:val="0"/>
          <w:sz w:val="32"/>
          <w:szCs w:val="32"/>
          <w:highlight w:val="none"/>
          <w:lang w:val="zh-CN" w:eastAsia="zh-CN" w:bidi="ar-SA"/>
        </w:rPr>
        <w:t>（</w:t>
      </w:r>
      <w:r>
        <w:rPr>
          <w:rFonts w:hint="eastAsia" w:ascii="仿宋_GB2312" w:hAnsi="Calibri" w:eastAsia="仿宋_GB2312" w:cs="仿宋"/>
          <w:color w:val="auto"/>
          <w:kern w:val="0"/>
          <w:sz w:val="32"/>
          <w:szCs w:val="32"/>
          <w:highlight w:val="none"/>
          <w:lang w:val="en-US" w:eastAsia="zh-CN" w:bidi="ar-SA"/>
        </w:rPr>
        <w:t>二</w:t>
      </w:r>
      <w:r>
        <w:rPr>
          <w:rFonts w:hint="eastAsia" w:ascii="仿宋_GB2312" w:hAnsi="Calibri" w:eastAsia="仿宋_GB2312" w:cs="仿宋"/>
          <w:color w:val="auto"/>
          <w:kern w:val="0"/>
          <w:sz w:val="32"/>
          <w:szCs w:val="32"/>
          <w:highlight w:val="none"/>
          <w:lang w:val="zh-CN" w:eastAsia="zh-CN" w:bidi="ar-SA"/>
        </w:rPr>
        <w:t>）</w:t>
      </w:r>
      <w:r>
        <w:rPr>
          <w:rFonts w:hint="eastAsia" w:ascii="楷体_GB2312" w:hAnsi="宋体" w:eastAsia="楷体_GB2312"/>
          <w:b/>
          <w:color w:val="auto"/>
          <w:sz w:val="32"/>
          <w:szCs w:val="32"/>
          <w:highlight w:val="none"/>
          <w:u w:val="none"/>
          <w:lang w:val="zh-CN"/>
        </w:rPr>
        <w:t>项目管理情况。</w:t>
      </w:r>
      <w:r>
        <w:rPr>
          <w:rFonts w:hint="eastAsia" w:ascii="仿宋_GB2312" w:hAnsi="仿宋_GB2312" w:eastAsia="仿宋_GB2312" w:cs="仿宋_GB2312"/>
          <w:sz w:val="32"/>
          <w:szCs w:val="32"/>
          <w:lang w:val="zh-CN" w:eastAsia="zh-CN"/>
        </w:rPr>
        <w:t>项目资金由镇财政所具体管理，按投资计划，制定管理制度，对项目资金按项目单独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核算实行“专款专用、专人管理”，不</w:t>
      </w:r>
      <w:r>
        <w:rPr>
          <w:rFonts w:hint="eastAsia" w:ascii="仿宋_GB2312" w:hAnsi="仿宋_GB2312" w:eastAsia="仿宋_GB2312" w:cs="仿宋_GB2312"/>
          <w:sz w:val="32"/>
          <w:szCs w:val="32"/>
          <w:lang w:val="en-US" w:eastAsia="zh-CN"/>
        </w:rPr>
        <w:t>存在</w:t>
      </w:r>
      <w:r>
        <w:rPr>
          <w:rFonts w:hint="eastAsia" w:ascii="仿宋_GB2312" w:hAnsi="仿宋_GB2312" w:eastAsia="仿宋_GB2312" w:cs="仿宋_GB2312"/>
          <w:sz w:val="32"/>
          <w:szCs w:val="32"/>
          <w:lang w:val="zh-CN" w:eastAsia="zh-CN"/>
        </w:rPr>
        <w:t>挤占挪用项目资金。</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Times New Roman" w:hAnsi="Times New Roman" w:eastAsia="仿宋_GB2312" w:cs="仿宋_GB2312"/>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项目监管情况。</w:t>
      </w:r>
      <w:r>
        <w:rPr>
          <w:rFonts w:hint="eastAsia" w:ascii="仿宋_GB2312" w:hAnsi="仿宋_GB2312" w:eastAsia="仿宋_GB2312" w:cs="仿宋_GB2312"/>
          <w:sz w:val="32"/>
          <w:szCs w:val="32"/>
          <w:lang w:val="zh-CN" w:eastAsia="zh-CN"/>
        </w:rPr>
        <w:t>项目的正常实施监督检查是保障。我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val="zh-CN" w:eastAsia="zh-CN"/>
        </w:rPr>
        <w:t>定期或不定期对项目进行现场检查和督查，确保项目建设质量。</w:t>
      </w:r>
    </w:p>
    <w:p>
      <w:pPr>
        <w:snapToGrid w:val="0"/>
        <w:spacing w:line="576" w:lineRule="exact"/>
        <w:ind w:firstLine="642" w:firstLineChars="200"/>
        <w:textAlignment w:val="baseline"/>
        <w:rPr>
          <w:rFonts w:eastAsia="楷体_GB2312"/>
          <w:b/>
          <w:sz w:val="32"/>
          <w:szCs w:val="32"/>
          <w:lang w:val="zh-CN"/>
        </w:rPr>
      </w:pPr>
      <w:r>
        <w:rPr>
          <w:rFonts w:hint="eastAsia" w:eastAsia="楷体_GB2312"/>
          <w:b/>
          <w:sz w:val="32"/>
          <w:szCs w:val="32"/>
          <w:lang w:val="zh-CN" w:eastAsia="zh-CN"/>
        </w:rPr>
        <w:t>四</w:t>
      </w:r>
      <w:r>
        <w:rPr>
          <w:rFonts w:eastAsia="楷体_GB2312"/>
          <w:b/>
          <w:sz w:val="32"/>
          <w:szCs w:val="32"/>
          <w:lang w:val="zh-CN"/>
        </w:rPr>
        <w:t>、项目绩效情况</w:t>
      </w:r>
      <w:r>
        <w:rPr>
          <w:rFonts w:eastAsia="楷体_GB2312"/>
          <w:b/>
          <w:sz w:val="32"/>
          <w:szCs w:val="32"/>
          <w:lang w:val="zh-CN"/>
        </w:rPr>
        <w:tab/>
      </w:r>
    </w:p>
    <w:p>
      <w:pPr>
        <w:pageBreakBefore w:val="0"/>
        <w:kinsoku/>
        <w:wordWrap/>
        <w:overflowPunct/>
        <w:topLinePunct w:val="0"/>
        <w:autoSpaceDE w:val="0"/>
        <w:autoSpaceDN w:val="0"/>
        <w:bidi w:val="0"/>
        <w:adjustRightInd w:val="0"/>
        <w:spacing w:line="576" w:lineRule="exact"/>
        <w:ind w:firstLine="642"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（一）项目完成情况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卫子镇产业发展资金（烤烟）项目按照质量标准、进度设计、成本控制目标，全年对烟农开展烤烟集中技术培训4次，新建烤房15间，烟地整理800亩，完成烟叶税收目标任务和烟叶种植目标任务。对生态环境不造成任何污染，群众满意度达到100%，提高了烟农收入。</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eastAsia" w:ascii="仿宋_GB2312" w:hAnsi="仿宋_GB2312" w:eastAsia="仿宋_GB2312" w:cs="仿宋_GB2312"/>
          <w:sz w:val="32"/>
          <w:szCs w:val="32"/>
          <w:lang w:val="zh-CN" w:eastAsia="zh-CN"/>
        </w:rPr>
      </w:pPr>
      <w:r>
        <w:rPr>
          <w:rFonts w:hint="default" w:ascii="仿宋" w:hAnsi="仿宋" w:eastAsia="仿宋" w:cs="Times New Roman"/>
          <w:b/>
          <w:color w:val="auto"/>
          <w:sz w:val="32"/>
          <w:szCs w:val="32"/>
          <w:highlight w:val="none"/>
          <w:lang w:val="zh-CN" w:eastAsia="zh-CN"/>
        </w:rPr>
        <w:t>（二）项目效益情况。</w:t>
      </w:r>
      <w:r>
        <w:rPr>
          <w:rFonts w:hint="eastAsia" w:ascii="仿宋_GB2312" w:hAnsi="仿宋_GB2312" w:eastAsia="仿宋_GB2312" w:cs="仿宋_GB2312"/>
          <w:sz w:val="32"/>
          <w:szCs w:val="32"/>
          <w:lang w:val="en-US" w:eastAsia="zh-CN"/>
        </w:rPr>
        <w:t>通过加强烟叶产业发展，全年烟农效益增收率为44.37%，烟农收益率100%,</w:t>
      </w:r>
      <w:r>
        <w:rPr>
          <w:rFonts w:hint="eastAsia" w:ascii="仿宋_GB2312" w:hAnsi="仿宋_GB2312" w:eastAsia="仿宋_GB2312" w:cs="仿宋_GB2312"/>
          <w:sz w:val="32"/>
          <w:szCs w:val="32"/>
          <w:lang w:val="zh-CN" w:eastAsia="zh-CN"/>
        </w:rPr>
        <w:t>得到</w:t>
      </w:r>
      <w:r>
        <w:rPr>
          <w:rFonts w:hint="eastAsia" w:ascii="仿宋_GB2312" w:hAnsi="仿宋_GB2312" w:eastAsia="仿宋_GB2312" w:cs="仿宋_GB2312"/>
          <w:sz w:val="32"/>
          <w:szCs w:val="32"/>
          <w:lang w:val="en-US" w:eastAsia="zh-CN"/>
        </w:rPr>
        <w:t>烟农</w:t>
      </w:r>
      <w:r>
        <w:rPr>
          <w:rFonts w:hint="eastAsia" w:ascii="仿宋_GB2312" w:hAnsi="仿宋_GB2312" w:eastAsia="仿宋_GB2312" w:cs="仿宋_GB2312"/>
          <w:sz w:val="32"/>
          <w:szCs w:val="32"/>
          <w:lang w:val="zh-CN" w:eastAsia="zh-CN"/>
        </w:rPr>
        <w:t>的认可和满意，</w:t>
      </w:r>
      <w:r>
        <w:rPr>
          <w:rFonts w:hint="eastAsia" w:ascii="仿宋_GB2312" w:hAnsi="仿宋_GB2312" w:eastAsia="仿宋_GB2312" w:cs="仿宋_GB2312"/>
          <w:sz w:val="32"/>
          <w:szCs w:val="32"/>
          <w:lang w:val="en-US" w:eastAsia="zh-CN"/>
        </w:rPr>
        <w:t>烟叶发展资金的投入为我镇财政增税、农民增收起到了特别显著的成效。</w:t>
      </w:r>
    </w:p>
    <w:p>
      <w:pPr>
        <w:snapToGrid w:val="0"/>
        <w:spacing w:line="576" w:lineRule="exact"/>
        <w:ind w:firstLine="640" w:firstLineChars="200"/>
        <w:textAlignment w:val="baseline"/>
        <w:rPr>
          <w:rFonts w:eastAsia="黑体"/>
          <w:sz w:val="32"/>
          <w:szCs w:val="32"/>
        </w:rPr>
      </w:pPr>
      <w:r>
        <w:rPr>
          <w:rFonts w:hint="eastAsia" w:eastAsia="黑体"/>
          <w:sz w:val="32"/>
          <w:szCs w:val="32"/>
          <w:lang w:eastAsia="zh-CN"/>
        </w:rPr>
        <w:t>五</w:t>
      </w:r>
      <w:r>
        <w:rPr>
          <w:rFonts w:eastAsia="黑体"/>
          <w:sz w:val="32"/>
          <w:szCs w:val="32"/>
        </w:rPr>
        <w:t>、评价结论及建议</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eastAsia="楷体_GB2312"/>
          <w:b/>
          <w:lang w:val="zh-CN"/>
        </w:rPr>
      </w:pPr>
      <w:r>
        <w:rPr>
          <w:rFonts w:hint="eastAsia" w:ascii="仿宋" w:hAnsi="仿宋" w:eastAsia="仿宋" w:cs="Times New Roman"/>
          <w:b/>
          <w:color w:val="auto"/>
          <w:sz w:val="32"/>
          <w:szCs w:val="32"/>
          <w:highlight w:val="none"/>
          <w:lang w:val="zh-CN" w:eastAsia="zh-CN"/>
        </w:rPr>
        <w:t>（一）评价结论。</w:t>
      </w:r>
      <w:r>
        <w:rPr>
          <w:rFonts w:hint="eastAsia" w:ascii="仿宋_GB2312" w:hAnsi="仿宋_GB2312" w:eastAsia="仿宋_GB2312" w:cs="仿宋_GB2312"/>
          <w:sz w:val="32"/>
          <w:szCs w:val="32"/>
          <w:lang w:val="zh-CN" w:eastAsia="zh-CN"/>
        </w:rPr>
        <w:t>根据项目决策、管理和绩效方面分析，我镇</w:t>
      </w:r>
      <w:r>
        <w:rPr>
          <w:rFonts w:hint="eastAsia" w:ascii="仿宋_GB2312" w:hAnsi="仿宋_GB2312" w:eastAsia="仿宋_GB2312" w:cs="仿宋_GB2312"/>
          <w:sz w:val="32"/>
          <w:szCs w:val="32"/>
          <w:lang w:val="en-US" w:eastAsia="zh-CN"/>
        </w:rPr>
        <w:t>烟叶发展资金</w:t>
      </w:r>
      <w:r>
        <w:rPr>
          <w:rFonts w:hint="eastAsia" w:ascii="仿宋_GB2312" w:hAnsi="仿宋_GB2312" w:eastAsia="仿宋_GB2312" w:cs="仿宋_GB2312"/>
          <w:sz w:val="32"/>
          <w:szCs w:val="32"/>
          <w:lang w:val="zh-CN" w:eastAsia="zh-CN"/>
        </w:rPr>
        <w:t>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年期间保障了我镇</w:t>
      </w:r>
      <w:r>
        <w:rPr>
          <w:rFonts w:hint="eastAsia" w:ascii="仿宋_GB2312" w:hAnsi="仿宋_GB2312" w:eastAsia="仿宋_GB2312" w:cs="仿宋_GB2312"/>
          <w:sz w:val="32"/>
          <w:szCs w:val="32"/>
          <w:lang w:val="en-US" w:eastAsia="zh-CN"/>
        </w:rPr>
        <w:t>完成了烟叶发展任务</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我单位按照《广元市昭化区人民政府办公室关于印发&lt;广元市昭化区财政支出事后绩效评价管理办法&gt;的通知》(昭府办函[2022]37号)绩效评价指标体系开展绩效评价</w:t>
      </w:r>
      <w:r>
        <w:rPr>
          <w:rFonts w:hint="eastAsia" w:ascii="仿宋_GB2312" w:hAnsi="仿宋_GB2312" w:eastAsia="仿宋_GB2312" w:cs="仿宋_GB2312"/>
          <w:sz w:val="32"/>
          <w:szCs w:val="32"/>
          <w:lang w:val="zh-CN" w:eastAsia="zh-CN"/>
        </w:rPr>
        <w:t>，自评得分为</w:t>
      </w:r>
      <w:r>
        <w:rPr>
          <w:rFonts w:hint="eastAsia" w:ascii="仿宋_GB2312" w:hAnsi="仿宋_GB2312" w:eastAsia="仿宋_GB2312" w:cs="仿宋_GB2312"/>
          <w:sz w:val="32"/>
          <w:szCs w:val="32"/>
          <w:lang w:val="en-US" w:eastAsia="zh-CN"/>
        </w:rPr>
        <w:t>100分。</w:t>
      </w:r>
    </w:p>
    <w:p>
      <w:pPr>
        <w:snapToGrid w:val="0"/>
        <w:spacing w:line="576" w:lineRule="exact"/>
        <w:ind w:firstLine="642" w:firstLineChars="200"/>
        <w:textAlignment w:val="baseline"/>
        <w:rPr>
          <w:rFonts w:hint="eastAsia" w:ascii="仿宋_GB2312" w:hAnsi="仿宋_GB2312" w:eastAsia="仿宋_GB2312" w:cs="仿宋_GB2312"/>
          <w:sz w:val="32"/>
          <w:szCs w:val="32"/>
          <w:lang w:val="zh-CN" w:eastAsia="zh-CN"/>
        </w:rPr>
      </w:pPr>
      <w:r>
        <w:rPr>
          <w:rFonts w:eastAsia="楷体_GB2312"/>
          <w:b/>
          <w:sz w:val="32"/>
          <w:szCs w:val="32"/>
          <w:lang w:val="zh-CN"/>
        </w:rPr>
        <w:t>（二）存在的问题。</w:t>
      </w:r>
      <w:r>
        <w:rPr>
          <w:rFonts w:hint="eastAsia" w:ascii="仿宋_GB2312" w:hAnsi="仿宋_GB2312" w:eastAsia="仿宋_GB2312" w:cs="仿宋_GB2312"/>
          <w:sz w:val="32"/>
          <w:szCs w:val="32"/>
          <w:lang w:val="zh-CN" w:eastAsia="zh-CN"/>
        </w:rPr>
        <w:t>一是项目预算编制还需细化；二是资金申报不及时。</w:t>
      </w:r>
    </w:p>
    <w:p>
      <w:pPr>
        <w:pStyle w:val="16"/>
        <w:widowControl/>
        <w:shd w:val="clear" w:color="auto" w:fill="FFFFFF"/>
        <w:spacing w:beforeAutospacing="0" w:afterAutospacing="0" w:line="30" w:lineRule="atLeast"/>
        <w:ind w:firstLine="642" w:firstLineChars="200"/>
        <w:jc w:val="both"/>
        <w:textAlignment w:val="center"/>
        <w:rPr>
          <w:rFonts w:hint="eastAsia" w:eastAsia="仿宋_GB2312"/>
          <w:sz w:val="32"/>
          <w:szCs w:val="32"/>
          <w:highlight w:val="none"/>
          <w:lang w:val="en-US" w:eastAsia="zh-CN"/>
        </w:rPr>
      </w:pPr>
      <w:r>
        <w:rPr>
          <w:rFonts w:eastAsia="楷体_GB2312"/>
          <w:b/>
          <w:kern w:val="2"/>
          <w:sz w:val="32"/>
          <w:lang w:val="zh-CN"/>
        </w:rPr>
        <w:t>（三）相关措施建议。</w:t>
      </w:r>
      <w:r>
        <w:rPr>
          <w:rFonts w:hint="eastAsia" w:ascii="仿宋_GB2312" w:hAnsi="仿宋_GB2312" w:eastAsia="仿宋_GB2312" w:cs="仿宋_GB2312"/>
          <w:kern w:val="2"/>
          <w:sz w:val="32"/>
          <w:szCs w:val="32"/>
          <w:lang w:val="zh-CN" w:eastAsia="zh-CN" w:bidi="ar-SA"/>
        </w:rPr>
        <w:t>一是细化项目预算编制工作，进一步提高预算编制的科学性、合理性、严谨性和可控性；二是根据项目任务完成情况积极申报资金计划，尽可能实现资金兑付与项目完成同步。</w:t>
      </w:r>
      <w:r>
        <w:rPr>
          <w:rFonts w:hint="eastAsia" w:ascii="仿宋_GB2312" w:hAnsi="仿宋_GB2312" w:eastAsia="仿宋_GB2312" w:cs="仿宋_GB2312"/>
          <w:kern w:val="2"/>
          <w:sz w:val="32"/>
          <w:szCs w:val="32"/>
          <w:lang w:val="en-US" w:eastAsia="zh-CN" w:bidi="ar-SA"/>
        </w:rPr>
        <w:t xml:space="preserve"> </w:t>
      </w:r>
    </w:p>
    <w:tbl>
      <w:tblPr>
        <w:tblStyle w:val="18"/>
        <w:tblW w:w="9166"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1368"/>
        <w:gridCol w:w="1080"/>
        <w:gridCol w:w="1731"/>
        <w:gridCol w:w="587"/>
        <w:gridCol w:w="1256"/>
        <w:gridCol w:w="625"/>
        <w:gridCol w:w="810"/>
        <w:gridCol w:w="557"/>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4" w:hRule="atLeast"/>
        </w:trPr>
        <w:tc>
          <w:tcPr>
            <w:tcW w:w="9166"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40"/>
                <w:szCs w:val="40"/>
                <w:u w:val="none"/>
              </w:rPr>
            </w:pPr>
            <w:r>
              <w:rPr>
                <w:rFonts w:hint="default" w:ascii="黑体" w:hAnsi="宋体" w:eastAsia="黑体" w:cs="黑体"/>
                <w:b/>
                <w:bCs/>
                <w:i w:val="0"/>
                <w:iCs w:val="0"/>
                <w:color w:val="000000"/>
                <w:kern w:val="0"/>
                <w:sz w:val="40"/>
                <w:szCs w:val="40"/>
                <w:u w:val="none"/>
                <w:lang w:val="en-US" w:eastAsia="zh-CN" w:bidi="ar"/>
              </w:rPr>
              <w:t>广元市昭化区卫子镇</w:t>
            </w:r>
            <w:r>
              <w:rPr>
                <w:rFonts w:hint="eastAsia" w:ascii="黑体" w:hAnsi="宋体" w:eastAsia="黑体" w:cs="黑体"/>
                <w:b/>
                <w:bCs/>
                <w:i w:val="0"/>
                <w:iCs w:val="0"/>
                <w:color w:val="000000"/>
                <w:kern w:val="0"/>
                <w:sz w:val="40"/>
                <w:szCs w:val="40"/>
                <w:u w:val="none"/>
                <w:lang w:val="en-US" w:eastAsia="zh-CN" w:bidi="ar"/>
              </w:rPr>
              <w:t>烟叶发展项目支出绩效</w:t>
            </w:r>
            <w:r>
              <w:rPr>
                <w:rFonts w:hint="default" w:ascii="黑体" w:hAnsi="宋体" w:eastAsia="黑体" w:cs="黑体"/>
                <w:b/>
                <w:bCs/>
                <w:i w:val="0"/>
                <w:iCs w:val="0"/>
                <w:color w:val="000000"/>
                <w:kern w:val="0"/>
                <w:sz w:val="40"/>
                <w:szCs w:val="40"/>
                <w:u w:val="none"/>
                <w:lang w:val="en-US" w:eastAsia="zh-CN" w:bidi="ar"/>
              </w:rPr>
              <w:t>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9166" w:type="dxa"/>
            <w:gridSpan w:val="10"/>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76" w:type="dxa"/>
            <w:vMerge w:val="restart"/>
            <w:shd w:val="clear" w:color="auto" w:fill="auto"/>
          </w:tcPr>
          <w:p>
            <w:pPr>
              <w:pStyle w:val="42"/>
              <w:jc w:val="left"/>
              <w:rPr>
                <w:sz w:val="18"/>
              </w:rPr>
            </w:pPr>
          </w:p>
          <w:p>
            <w:pPr>
              <w:pStyle w:val="42"/>
              <w:jc w:val="left"/>
              <w:rPr>
                <w:sz w:val="18"/>
              </w:rPr>
            </w:pPr>
          </w:p>
          <w:p>
            <w:pPr>
              <w:pStyle w:val="42"/>
              <w:jc w:val="left"/>
              <w:rPr>
                <w:sz w:val="18"/>
              </w:rPr>
            </w:pPr>
          </w:p>
          <w:p>
            <w:pPr>
              <w:pStyle w:val="42"/>
              <w:spacing w:before="116" w:line="324" w:lineRule="auto"/>
              <w:ind w:left="107" w:right="96"/>
              <w:jc w:val="both"/>
              <w:rPr>
                <w:sz w:val="18"/>
              </w:rPr>
            </w:pPr>
            <w:r>
              <w:rPr>
                <w:spacing w:val="-2"/>
                <w:sz w:val="18"/>
              </w:rPr>
              <w:t>预算执行</w:t>
            </w:r>
            <w:r>
              <w:rPr>
                <w:spacing w:val="-9"/>
                <w:sz w:val="18"/>
              </w:rPr>
              <w:t>情况</w:t>
            </w:r>
          </w:p>
          <w:p>
            <w:pPr>
              <w:pStyle w:val="42"/>
              <w:spacing w:before="2" w:line="324" w:lineRule="auto"/>
              <w:ind w:left="107" w:right="96"/>
              <w:jc w:val="left"/>
              <w:rPr>
                <w:sz w:val="18"/>
              </w:rPr>
            </w:pPr>
            <w:r>
              <w:rPr>
                <w:sz w:val="18"/>
              </w:rPr>
              <w:t>（10</w:t>
            </w:r>
            <w:r>
              <w:rPr>
                <w:spacing w:val="-88"/>
                <w:sz w:val="18"/>
              </w:rPr>
              <w:t xml:space="preserve"> </w:t>
            </w:r>
            <w:r>
              <w:rPr>
                <w:spacing w:val="-9"/>
                <w:sz w:val="18"/>
              </w:rPr>
              <w:t>分</w:t>
            </w:r>
            <w:r>
              <w:rPr>
                <w:spacing w:val="-8"/>
                <w:sz w:val="18"/>
              </w:rPr>
              <w:t>）</w:t>
            </w:r>
          </w:p>
        </w:tc>
        <w:tc>
          <w:tcPr>
            <w:tcW w:w="1368" w:type="dxa"/>
            <w:shd w:val="clear" w:color="auto" w:fill="auto"/>
          </w:tcPr>
          <w:p>
            <w:pPr>
              <w:pStyle w:val="42"/>
              <w:spacing w:before="42"/>
              <w:ind w:left="232"/>
              <w:jc w:val="left"/>
              <w:rPr>
                <w:sz w:val="18"/>
              </w:rPr>
            </w:pPr>
            <w:r>
              <w:rPr>
                <w:sz w:val="18"/>
              </w:rPr>
              <w:t>年度预算数</w:t>
            </w:r>
          </w:p>
          <w:p>
            <w:pPr>
              <w:pStyle w:val="42"/>
              <w:spacing w:before="81"/>
              <w:ind w:left="323"/>
              <w:jc w:val="left"/>
              <w:rPr>
                <w:sz w:val="18"/>
              </w:rPr>
            </w:pPr>
            <w:r>
              <w:rPr>
                <w:sz w:val="18"/>
              </w:rPr>
              <w:t>（万元）</w:t>
            </w:r>
          </w:p>
        </w:tc>
        <w:tc>
          <w:tcPr>
            <w:tcW w:w="1080" w:type="dxa"/>
            <w:shd w:val="clear" w:color="auto" w:fill="auto"/>
          </w:tcPr>
          <w:p>
            <w:pPr>
              <w:pStyle w:val="42"/>
              <w:spacing w:before="6"/>
              <w:jc w:val="left"/>
              <w:rPr>
                <w:sz w:val="15"/>
              </w:rPr>
            </w:pPr>
          </w:p>
          <w:p>
            <w:pPr>
              <w:pStyle w:val="42"/>
              <w:ind w:left="159" w:right="150"/>
              <w:rPr>
                <w:sz w:val="18"/>
              </w:rPr>
            </w:pPr>
            <w:r>
              <w:rPr>
                <w:sz w:val="18"/>
              </w:rPr>
              <w:t>年初预算</w:t>
            </w:r>
          </w:p>
        </w:tc>
        <w:tc>
          <w:tcPr>
            <w:tcW w:w="1731" w:type="dxa"/>
            <w:shd w:val="clear" w:color="auto" w:fill="auto"/>
          </w:tcPr>
          <w:p>
            <w:pPr>
              <w:pStyle w:val="42"/>
              <w:spacing w:before="6"/>
              <w:jc w:val="left"/>
              <w:rPr>
                <w:sz w:val="15"/>
              </w:rPr>
            </w:pPr>
          </w:p>
          <w:p>
            <w:pPr>
              <w:pStyle w:val="42"/>
              <w:ind w:left="123" w:right="117"/>
              <w:rPr>
                <w:sz w:val="18"/>
              </w:rPr>
            </w:pPr>
            <w:r>
              <w:rPr>
                <w:sz w:val="18"/>
              </w:rPr>
              <w:t>调整后预算数</w:t>
            </w:r>
          </w:p>
        </w:tc>
        <w:tc>
          <w:tcPr>
            <w:tcW w:w="2468" w:type="dxa"/>
            <w:gridSpan w:val="3"/>
            <w:shd w:val="clear" w:color="auto" w:fill="auto"/>
          </w:tcPr>
          <w:p>
            <w:pPr>
              <w:pStyle w:val="42"/>
              <w:spacing w:before="6"/>
              <w:jc w:val="left"/>
              <w:rPr>
                <w:sz w:val="15"/>
              </w:rPr>
            </w:pPr>
          </w:p>
          <w:p>
            <w:pPr>
              <w:pStyle w:val="42"/>
              <w:ind w:left="784"/>
              <w:jc w:val="left"/>
              <w:rPr>
                <w:sz w:val="18"/>
              </w:rPr>
            </w:pPr>
            <w:r>
              <w:rPr>
                <w:sz w:val="18"/>
              </w:rPr>
              <w:t>预算执行数</w:t>
            </w:r>
          </w:p>
        </w:tc>
        <w:tc>
          <w:tcPr>
            <w:tcW w:w="810" w:type="dxa"/>
            <w:shd w:val="clear" w:color="auto" w:fill="auto"/>
          </w:tcPr>
          <w:p>
            <w:pPr>
              <w:pStyle w:val="42"/>
              <w:spacing w:before="42"/>
              <w:ind w:left="135"/>
              <w:jc w:val="left"/>
              <w:rPr>
                <w:sz w:val="18"/>
              </w:rPr>
            </w:pPr>
            <w:r>
              <w:rPr>
                <w:sz w:val="18"/>
              </w:rPr>
              <w:t>预算执</w:t>
            </w:r>
          </w:p>
          <w:p>
            <w:pPr>
              <w:pStyle w:val="42"/>
              <w:spacing w:before="81"/>
              <w:ind w:left="224"/>
              <w:jc w:val="left"/>
              <w:rPr>
                <w:sz w:val="18"/>
              </w:rPr>
            </w:pPr>
            <w:r>
              <w:rPr>
                <w:sz w:val="18"/>
              </w:rPr>
              <w:t>行率</w:t>
            </w:r>
          </w:p>
        </w:tc>
        <w:tc>
          <w:tcPr>
            <w:tcW w:w="557" w:type="dxa"/>
            <w:shd w:val="clear" w:color="auto" w:fill="auto"/>
          </w:tcPr>
          <w:p>
            <w:pPr>
              <w:pStyle w:val="42"/>
              <w:spacing w:before="42"/>
              <w:ind w:left="186"/>
              <w:jc w:val="left"/>
              <w:rPr>
                <w:sz w:val="18"/>
              </w:rPr>
            </w:pPr>
            <w:r>
              <w:rPr>
                <w:sz w:val="18"/>
              </w:rPr>
              <w:t>权</w:t>
            </w:r>
          </w:p>
          <w:p>
            <w:pPr>
              <w:pStyle w:val="42"/>
              <w:spacing w:before="81"/>
              <w:ind w:left="186"/>
              <w:jc w:val="left"/>
              <w:rPr>
                <w:sz w:val="18"/>
              </w:rPr>
            </w:pPr>
            <w:r>
              <w:rPr>
                <w:sz w:val="18"/>
              </w:rPr>
              <w:t>重</w:t>
            </w:r>
          </w:p>
        </w:tc>
        <w:tc>
          <w:tcPr>
            <w:tcW w:w="576" w:type="dxa"/>
            <w:shd w:val="clear" w:color="auto" w:fill="auto"/>
          </w:tcPr>
          <w:p>
            <w:pPr>
              <w:pStyle w:val="42"/>
              <w:spacing w:before="6"/>
              <w:jc w:val="left"/>
              <w:rPr>
                <w:sz w:val="15"/>
              </w:rPr>
            </w:pPr>
          </w:p>
          <w:p>
            <w:pPr>
              <w:pStyle w:val="42"/>
              <w:ind w:left="107"/>
              <w:jc w:val="left"/>
              <w:rPr>
                <w:sz w:val="18"/>
              </w:rPr>
            </w:pPr>
            <w:r>
              <w:rPr>
                <w:sz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87" w:hRule="atLeast"/>
        </w:trPr>
        <w:tc>
          <w:tcPr>
            <w:tcW w:w="576" w:type="dxa"/>
            <w:vMerge w:val="continue"/>
            <w:tcBorders>
              <w:top w:val="nil"/>
            </w:tcBorders>
            <w:shd w:val="clear" w:color="auto" w:fill="auto"/>
          </w:tcPr>
          <w:p>
            <w:pPr>
              <w:rPr>
                <w:sz w:val="2"/>
                <w:szCs w:val="2"/>
              </w:rPr>
            </w:pPr>
          </w:p>
        </w:tc>
        <w:tc>
          <w:tcPr>
            <w:tcW w:w="1368" w:type="dxa"/>
            <w:shd w:val="clear" w:color="auto" w:fill="auto"/>
          </w:tcPr>
          <w:p>
            <w:pPr>
              <w:pStyle w:val="42"/>
              <w:spacing w:before="80"/>
              <w:ind w:left="123" w:right="114"/>
              <w:rPr>
                <w:sz w:val="18"/>
              </w:rPr>
            </w:pPr>
            <w:r>
              <w:rPr>
                <w:sz w:val="18"/>
              </w:rPr>
              <w:t>总额</w:t>
            </w:r>
          </w:p>
        </w:tc>
        <w:tc>
          <w:tcPr>
            <w:tcW w:w="1080" w:type="dxa"/>
            <w:shd w:val="clear" w:color="auto" w:fill="auto"/>
          </w:tcPr>
          <w:p>
            <w:pPr>
              <w:pStyle w:val="42"/>
              <w:spacing w:before="80"/>
              <w:ind w:left="158" w:right="150"/>
              <w:rPr>
                <w:rFonts w:hint="default" w:eastAsia="宋体"/>
                <w:sz w:val="18"/>
                <w:lang w:val="en-US" w:eastAsia="zh-CN"/>
              </w:rPr>
            </w:pPr>
            <w:r>
              <w:rPr>
                <w:rFonts w:hint="eastAsia"/>
                <w:sz w:val="18"/>
                <w:lang w:val="en-US" w:eastAsia="zh-CN"/>
              </w:rPr>
              <w:t>67.98</w:t>
            </w:r>
          </w:p>
        </w:tc>
        <w:tc>
          <w:tcPr>
            <w:tcW w:w="1731" w:type="dxa"/>
            <w:shd w:val="clear" w:color="auto" w:fill="auto"/>
          </w:tcPr>
          <w:p>
            <w:pPr>
              <w:spacing w:before="80"/>
              <w:ind w:left="123" w:right="113"/>
              <w:rPr>
                <w:sz w:val="18"/>
              </w:rPr>
            </w:pPr>
            <w:r>
              <w:rPr>
                <w:rFonts w:hint="eastAsia"/>
                <w:sz w:val="18"/>
                <w:lang w:val="en-US" w:eastAsia="zh-CN"/>
              </w:rPr>
              <w:t>67.98</w:t>
            </w:r>
          </w:p>
        </w:tc>
        <w:tc>
          <w:tcPr>
            <w:tcW w:w="2468" w:type="dxa"/>
            <w:gridSpan w:val="3"/>
            <w:shd w:val="clear" w:color="auto" w:fill="auto"/>
          </w:tcPr>
          <w:p>
            <w:pPr>
              <w:spacing w:before="80"/>
              <w:ind w:left="944" w:right="933"/>
              <w:rPr>
                <w:sz w:val="18"/>
              </w:rPr>
            </w:pPr>
            <w:r>
              <w:rPr>
                <w:rFonts w:hint="eastAsia"/>
                <w:sz w:val="18"/>
                <w:lang w:val="en-US" w:eastAsia="zh-CN"/>
              </w:rPr>
              <w:t>67.98</w:t>
            </w:r>
          </w:p>
        </w:tc>
        <w:tc>
          <w:tcPr>
            <w:tcW w:w="810" w:type="dxa"/>
            <w:shd w:val="clear" w:color="auto" w:fill="auto"/>
          </w:tcPr>
          <w:p>
            <w:pPr>
              <w:pStyle w:val="42"/>
              <w:spacing w:before="80"/>
              <w:ind w:left="115" w:right="104"/>
              <w:rPr>
                <w:sz w:val="18"/>
              </w:rPr>
            </w:pPr>
            <w:r>
              <w:rPr>
                <w:rFonts w:hint="eastAsia"/>
                <w:sz w:val="18"/>
                <w:lang w:val="en-US" w:eastAsia="zh-CN"/>
              </w:rPr>
              <w:t>100</w:t>
            </w:r>
            <w:r>
              <w:rPr>
                <w:sz w:val="18"/>
              </w:rPr>
              <w:t>%</w:t>
            </w:r>
          </w:p>
        </w:tc>
        <w:tc>
          <w:tcPr>
            <w:tcW w:w="557" w:type="dxa"/>
            <w:shd w:val="clear" w:color="auto" w:fill="auto"/>
          </w:tcPr>
          <w:p>
            <w:pPr>
              <w:pStyle w:val="42"/>
              <w:spacing w:before="80"/>
              <w:ind w:left="121" w:right="113"/>
              <w:rPr>
                <w:sz w:val="18"/>
              </w:rPr>
            </w:pPr>
            <w:r>
              <w:rPr>
                <w:sz w:val="18"/>
              </w:rPr>
              <w:t>10</w:t>
            </w:r>
          </w:p>
        </w:tc>
        <w:tc>
          <w:tcPr>
            <w:tcW w:w="576" w:type="dxa"/>
            <w:shd w:val="clear" w:color="auto" w:fill="auto"/>
          </w:tcPr>
          <w:p>
            <w:pPr>
              <w:pStyle w:val="42"/>
              <w:spacing w:before="80"/>
              <w:ind w:left="153"/>
              <w:jc w:val="left"/>
              <w:rPr>
                <w:rFonts w:hint="default" w:eastAsia="宋体"/>
                <w:sz w:val="18"/>
                <w:lang w:val="en-US" w:eastAsia="zh-CN"/>
              </w:rPr>
            </w:pPr>
            <w:r>
              <w:rPr>
                <w:rFonts w:hint="eastAsia"/>
                <w:sz w:val="18"/>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576" w:type="dxa"/>
            <w:vMerge w:val="continue"/>
            <w:tcBorders>
              <w:top w:val="nil"/>
            </w:tcBorders>
            <w:shd w:val="clear" w:color="auto" w:fill="auto"/>
          </w:tcPr>
          <w:p>
            <w:pPr>
              <w:rPr>
                <w:sz w:val="2"/>
                <w:szCs w:val="2"/>
              </w:rPr>
            </w:pPr>
          </w:p>
        </w:tc>
        <w:tc>
          <w:tcPr>
            <w:tcW w:w="1368" w:type="dxa"/>
            <w:shd w:val="clear" w:color="auto" w:fill="auto"/>
          </w:tcPr>
          <w:p>
            <w:pPr>
              <w:pStyle w:val="42"/>
              <w:spacing w:before="43"/>
              <w:ind w:left="123" w:right="114"/>
              <w:rPr>
                <w:sz w:val="18"/>
              </w:rPr>
            </w:pPr>
            <w:r>
              <w:rPr>
                <w:sz w:val="18"/>
              </w:rPr>
              <w:t>其中：财政资</w:t>
            </w:r>
          </w:p>
          <w:p>
            <w:pPr>
              <w:pStyle w:val="42"/>
              <w:spacing w:before="81"/>
              <w:ind w:left="7"/>
              <w:rPr>
                <w:sz w:val="18"/>
              </w:rPr>
            </w:pPr>
            <w:r>
              <w:rPr>
                <w:sz w:val="18"/>
              </w:rPr>
              <w:t>金</w:t>
            </w:r>
          </w:p>
        </w:tc>
        <w:tc>
          <w:tcPr>
            <w:tcW w:w="1080" w:type="dxa"/>
            <w:shd w:val="clear" w:color="auto" w:fill="auto"/>
          </w:tcPr>
          <w:p>
            <w:pPr>
              <w:pStyle w:val="42"/>
              <w:spacing w:before="7"/>
              <w:jc w:val="left"/>
              <w:rPr>
                <w:sz w:val="15"/>
              </w:rPr>
            </w:pPr>
          </w:p>
          <w:p>
            <w:pPr>
              <w:pStyle w:val="42"/>
              <w:ind w:left="158" w:right="150"/>
              <w:rPr>
                <w:sz w:val="18"/>
              </w:rPr>
            </w:pPr>
            <w:r>
              <w:rPr>
                <w:rFonts w:hint="eastAsia"/>
                <w:sz w:val="18"/>
                <w:lang w:val="en-US" w:eastAsia="zh-CN"/>
              </w:rPr>
              <w:t>67.98</w:t>
            </w:r>
          </w:p>
        </w:tc>
        <w:tc>
          <w:tcPr>
            <w:tcW w:w="1731" w:type="dxa"/>
            <w:shd w:val="clear" w:color="auto" w:fill="auto"/>
          </w:tcPr>
          <w:p>
            <w:pPr>
              <w:ind w:left="123" w:right="113"/>
              <w:rPr>
                <w:sz w:val="18"/>
              </w:rPr>
            </w:pPr>
            <w:r>
              <w:rPr>
                <w:rFonts w:hint="eastAsia"/>
                <w:sz w:val="18"/>
                <w:lang w:val="en-US" w:eastAsia="zh-CN"/>
              </w:rPr>
              <w:t>67.98</w:t>
            </w:r>
          </w:p>
        </w:tc>
        <w:tc>
          <w:tcPr>
            <w:tcW w:w="2468" w:type="dxa"/>
            <w:gridSpan w:val="3"/>
            <w:shd w:val="clear" w:color="auto" w:fill="auto"/>
          </w:tcPr>
          <w:p>
            <w:pPr>
              <w:ind w:left="944" w:right="933"/>
              <w:rPr>
                <w:sz w:val="18"/>
              </w:rPr>
            </w:pPr>
            <w:r>
              <w:rPr>
                <w:rFonts w:hint="eastAsia"/>
                <w:sz w:val="18"/>
                <w:lang w:val="en-US" w:eastAsia="zh-CN"/>
              </w:rPr>
              <w:t>67.98</w:t>
            </w:r>
          </w:p>
        </w:tc>
        <w:tc>
          <w:tcPr>
            <w:tcW w:w="810" w:type="dxa"/>
            <w:shd w:val="clear" w:color="auto" w:fill="auto"/>
          </w:tcPr>
          <w:p>
            <w:pPr>
              <w:pStyle w:val="42"/>
              <w:spacing w:before="7"/>
              <w:jc w:val="left"/>
              <w:rPr>
                <w:sz w:val="15"/>
              </w:rPr>
            </w:pPr>
          </w:p>
          <w:p>
            <w:pPr>
              <w:pStyle w:val="42"/>
              <w:ind w:left="115" w:right="104"/>
              <w:rPr>
                <w:sz w:val="18"/>
              </w:rPr>
            </w:pPr>
            <w:r>
              <w:rPr>
                <w:rFonts w:hint="eastAsia"/>
                <w:sz w:val="18"/>
                <w:lang w:val="en-US" w:eastAsia="zh-CN"/>
              </w:rPr>
              <w:t>100</w:t>
            </w:r>
            <w:r>
              <w:rPr>
                <w:sz w:val="18"/>
              </w:rPr>
              <w:t>%</w:t>
            </w:r>
          </w:p>
        </w:tc>
        <w:tc>
          <w:tcPr>
            <w:tcW w:w="557" w:type="dxa"/>
            <w:shd w:val="clear" w:color="auto" w:fill="auto"/>
          </w:tcPr>
          <w:p>
            <w:pPr>
              <w:pStyle w:val="42"/>
              <w:spacing w:before="7"/>
              <w:jc w:val="left"/>
              <w:rPr>
                <w:sz w:val="15"/>
              </w:rPr>
            </w:pPr>
          </w:p>
          <w:p>
            <w:pPr>
              <w:pStyle w:val="42"/>
              <w:ind w:left="8"/>
              <w:rPr>
                <w:sz w:val="18"/>
              </w:rPr>
            </w:pPr>
            <w:r>
              <w:rPr>
                <w:sz w:val="18"/>
              </w:rPr>
              <w:t>/</w:t>
            </w:r>
          </w:p>
        </w:tc>
        <w:tc>
          <w:tcPr>
            <w:tcW w:w="576" w:type="dxa"/>
            <w:shd w:val="clear" w:color="auto" w:fill="auto"/>
          </w:tcPr>
          <w:p>
            <w:pPr>
              <w:pStyle w:val="42"/>
              <w:spacing w:before="7"/>
              <w:jc w:val="left"/>
              <w:rPr>
                <w:sz w:val="15"/>
              </w:rPr>
            </w:pPr>
          </w:p>
          <w:p>
            <w:pPr>
              <w:pStyle w:val="42"/>
              <w:ind w:left="7"/>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576" w:type="dxa"/>
            <w:vMerge w:val="continue"/>
            <w:tcBorders>
              <w:top w:val="nil"/>
            </w:tcBorders>
            <w:shd w:val="clear" w:color="auto" w:fill="auto"/>
          </w:tcPr>
          <w:p>
            <w:pPr>
              <w:rPr>
                <w:sz w:val="2"/>
                <w:szCs w:val="2"/>
              </w:rPr>
            </w:pPr>
          </w:p>
        </w:tc>
        <w:tc>
          <w:tcPr>
            <w:tcW w:w="1368" w:type="dxa"/>
            <w:shd w:val="clear" w:color="auto" w:fill="auto"/>
          </w:tcPr>
          <w:p>
            <w:pPr>
              <w:pStyle w:val="42"/>
              <w:spacing w:before="43"/>
              <w:ind w:left="123" w:right="114"/>
              <w:rPr>
                <w:sz w:val="18"/>
              </w:rPr>
            </w:pPr>
            <w:r>
              <w:rPr>
                <w:sz w:val="18"/>
              </w:rPr>
              <w:t>财政专户管理</w:t>
            </w:r>
          </w:p>
          <w:p>
            <w:pPr>
              <w:pStyle w:val="42"/>
              <w:spacing w:before="81"/>
              <w:ind w:left="123" w:right="114"/>
              <w:rPr>
                <w:sz w:val="18"/>
              </w:rPr>
            </w:pPr>
            <w:r>
              <w:rPr>
                <w:sz w:val="18"/>
              </w:rPr>
              <w:t>资金</w:t>
            </w:r>
          </w:p>
        </w:tc>
        <w:tc>
          <w:tcPr>
            <w:tcW w:w="1080" w:type="dxa"/>
            <w:shd w:val="clear" w:color="auto" w:fill="auto"/>
          </w:tcPr>
          <w:p>
            <w:pPr>
              <w:pStyle w:val="42"/>
              <w:spacing w:before="6"/>
              <w:jc w:val="left"/>
              <w:rPr>
                <w:sz w:val="15"/>
              </w:rPr>
            </w:pPr>
          </w:p>
          <w:p>
            <w:pPr>
              <w:pStyle w:val="42"/>
              <w:ind w:left="159" w:right="148"/>
              <w:rPr>
                <w:sz w:val="18"/>
              </w:rPr>
            </w:pPr>
            <w:r>
              <w:rPr>
                <w:sz w:val="18"/>
              </w:rPr>
              <w:t>0.00</w:t>
            </w:r>
          </w:p>
        </w:tc>
        <w:tc>
          <w:tcPr>
            <w:tcW w:w="1731" w:type="dxa"/>
            <w:shd w:val="clear" w:color="auto" w:fill="auto"/>
          </w:tcPr>
          <w:p>
            <w:pPr>
              <w:pStyle w:val="42"/>
              <w:spacing w:before="6"/>
              <w:jc w:val="left"/>
              <w:rPr>
                <w:sz w:val="15"/>
              </w:rPr>
            </w:pPr>
          </w:p>
          <w:p>
            <w:pPr>
              <w:pStyle w:val="42"/>
              <w:ind w:left="123" w:right="115"/>
              <w:rPr>
                <w:sz w:val="18"/>
              </w:rPr>
            </w:pPr>
            <w:r>
              <w:rPr>
                <w:sz w:val="18"/>
              </w:rPr>
              <w:t>0.00</w:t>
            </w:r>
          </w:p>
        </w:tc>
        <w:tc>
          <w:tcPr>
            <w:tcW w:w="2468" w:type="dxa"/>
            <w:gridSpan w:val="3"/>
            <w:shd w:val="clear" w:color="auto" w:fill="auto"/>
          </w:tcPr>
          <w:p>
            <w:pPr>
              <w:pStyle w:val="42"/>
              <w:spacing w:before="6"/>
              <w:jc w:val="left"/>
              <w:rPr>
                <w:sz w:val="15"/>
              </w:rPr>
            </w:pPr>
          </w:p>
          <w:p>
            <w:pPr>
              <w:pStyle w:val="42"/>
              <w:ind w:left="942" w:right="933"/>
              <w:rPr>
                <w:sz w:val="18"/>
              </w:rPr>
            </w:pPr>
            <w:r>
              <w:rPr>
                <w:sz w:val="18"/>
              </w:rPr>
              <w:t>0.00</w:t>
            </w:r>
          </w:p>
        </w:tc>
        <w:tc>
          <w:tcPr>
            <w:tcW w:w="810" w:type="dxa"/>
            <w:shd w:val="clear" w:color="auto" w:fill="auto"/>
          </w:tcPr>
          <w:p>
            <w:pPr>
              <w:pStyle w:val="42"/>
              <w:spacing w:before="6"/>
              <w:jc w:val="left"/>
              <w:rPr>
                <w:sz w:val="15"/>
              </w:rPr>
            </w:pPr>
          </w:p>
          <w:p>
            <w:pPr>
              <w:pStyle w:val="42"/>
              <w:ind w:left="111" w:right="104"/>
              <w:rPr>
                <w:sz w:val="18"/>
              </w:rPr>
            </w:pPr>
            <w:r>
              <w:rPr>
                <w:sz w:val="18"/>
              </w:rPr>
              <w:t>0.00%</w:t>
            </w:r>
          </w:p>
        </w:tc>
        <w:tc>
          <w:tcPr>
            <w:tcW w:w="557" w:type="dxa"/>
            <w:shd w:val="clear" w:color="auto" w:fill="auto"/>
          </w:tcPr>
          <w:p>
            <w:pPr>
              <w:pStyle w:val="42"/>
              <w:spacing w:before="6"/>
              <w:jc w:val="left"/>
              <w:rPr>
                <w:sz w:val="15"/>
              </w:rPr>
            </w:pPr>
          </w:p>
          <w:p>
            <w:pPr>
              <w:pStyle w:val="42"/>
              <w:ind w:left="8"/>
              <w:rPr>
                <w:sz w:val="18"/>
              </w:rPr>
            </w:pPr>
            <w:r>
              <w:rPr>
                <w:sz w:val="18"/>
              </w:rPr>
              <w:t>/</w:t>
            </w:r>
          </w:p>
        </w:tc>
        <w:tc>
          <w:tcPr>
            <w:tcW w:w="576" w:type="dxa"/>
            <w:shd w:val="clear" w:color="auto" w:fill="auto"/>
          </w:tcPr>
          <w:p>
            <w:pPr>
              <w:pStyle w:val="42"/>
              <w:spacing w:before="6"/>
              <w:jc w:val="left"/>
              <w:rPr>
                <w:sz w:val="15"/>
              </w:rPr>
            </w:pPr>
          </w:p>
          <w:p>
            <w:pPr>
              <w:pStyle w:val="42"/>
              <w:ind w:left="7"/>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02" w:hRule="atLeast"/>
        </w:trPr>
        <w:tc>
          <w:tcPr>
            <w:tcW w:w="576" w:type="dxa"/>
            <w:vMerge w:val="continue"/>
            <w:tcBorders>
              <w:top w:val="nil"/>
            </w:tcBorders>
            <w:shd w:val="clear" w:color="auto" w:fill="auto"/>
          </w:tcPr>
          <w:p>
            <w:pPr>
              <w:rPr>
                <w:sz w:val="2"/>
                <w:szCs w:val="2"/>
              </w:rPr>
            </w:pPr>
          </w:p>
        </w:tc>
        <w:tc>
          <w:tcPr>
            <w:tcW w:w="1368" w:type="dxa"/>
            <w:shd w:val="clear" w:color="auto" w:fill="auto"/>
          </w:tcPr>
          <w:p>
            <w:pPr>
              <w:pStyle w:val="42"/>
              <w:spacing w:before="88"/>
              <w:ind w:left="123" w:right="114"/>
              <w:rPr>
                <w:sz w:val="18"/>
              </w:rPr>
            </w:pPr>
            <w:r>
              <w:rPr>
                <w:sz w:val="18"/>
              </w:rPr>
              <w:t>单位资金</w:t>
            </w:r>
          </w:p>
        </w:tc>
        <w:tc>
          <w:tcPr>
            <w:tcW w:w="1080" w:type="dxa"/>
            <w:shd w:val="clear" w:color="auto" w:fill="auto"/>
          </w:tcPr>
          <w:p>
            <w:pPr>
              <w:pStyle w:val="42"/>
              <w:spacing w:before="88"/>
              <w:ind w:left="159" w:right="148"/>
              <w:rPr>
                <w:sz w:val="18"/>
              </w:rPr>
            </w:pPr>
            <w:r>
              <w:rPr>
                <w:sz w:val="18"/>
              </w:rPr>
              <w:t>0.00</w:t>
            </w:r>
          </w:p>
        </w:tc>
        <w:tc>
          <w:tcPr>
            <w:tcW w:w="1731" w:type="dxa"/>
            <w:shd w:val="clear" w:color="auto" w:fill="auto"/>
          </w:tcPr>
          <w:p>
            <w:pPr>
              <w:pStyle w:val="42"/>
              <w:spacing w:before="88"/>
              <w:ind w:left="123" w:right="115"/>
              <w:rPr>
                <w:sz w:val="18"/>
              </w:rPr>
            </w:pPr>
            <w:r>
              <w:rPr>
                <w:sz w:val="18"/>
              </w:rPr>
              <w:t>0.00</w:t>
            </w:r>
          </w:p>
        </w:tc>
        <w:tc>
          <w:tcPr>
            <w:tcW w:w="2468" w:type="dxa"/>
            <w:gridSpan w:val="3"/>
            <w:shd w:val="clear" w:color="auto" w:fill="auto"/>
          </w:tcPr>
          <w:p>
            <w:pPr>
              <w:pStyle w:val="42"/>
              <w:spacing w:before="88"/>
              <w:ind w:left="942" w:right="933"/>
              <w:rPr>
                <w:sz w:val="18"/>
              </w:rPr>
            </w:pPr>
            <w:r>
              <w:rPr>
                <w:sz w:val="18"/>
              </w:rPr>
              <w:t>0.00</w:t>
            </w:r>
          </w:p>
        </w:tc>
        <w:tc>
          <w:tcPr>
            <w:tcW w:w="810" w:type="dxa"/>
            <w:shd w:val="clear" w:color="auto" w:fill="auto"/>
          </w:tcPr>
          <w:p>
            <w:pPr>
              <w:pStyle w:val="42"/>
              <w:spacing w:before="88"/>
              <w:ind w:left="111" w:right="104"/>
              <w:rPr>
                <w:sz w:val="18"/>
              </w:rPr>
            </w:pPr>
            <w:r>
              <w:rPr>
                <w:sz w:val="18"/>
              </w:rPr>
              <w:t>0.00%</w:t>
            </w:r>
          </w:p>
        </w:tc>
        <w:tc>
          <w:tcPr>
            <w:tcW w:w="557" w:type="dxa"/>
            <w:shd w:val="clear" w:color="auto" w:fill="auto"/>
          </w:tcPr>
          <w:p>
            <w:pPr>
              <w:pStyle w:val="42"/>
              <w:spacing w:before="88"/>
              <w:ind w:left="8"/>
              <w:rPr>
                <w:sz w:val="18"/>
              </w:rPr>
            </w:pPr>
            <w:r>
              <w:rPr>
                <w:sz w:val="18"/>
              </w:rPr>
              <w:t>/</w:t>
            </w:r>
          </w:p>
        </w:tc>
        <w:tc>
          <w:tcPr>
            <w:tcW w:w="576" w:type="dxa"/>
            <w:shd w:val="clear" w:color="auto" w:fill="auto"/>
          </w:tcPr>
          <w:p>
            <w:pPr>
              <w:pStyle w:val="42"/>
              <w:spacing w:before="88"/>
              <w:ind w:left="7"/>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78" w:hRule="atLeast"/>
        </w:trPr>
        <w:tc>
          <w:tcPr>
            <w:tcW w:w="576" w:type="dxa"/>
            <w:vMerge w:val="continue"/>
            <w:tcBorders>
              <w:top w:val="nil"/>
            </w:tcBorders>
            <w:shd w:val="clear" w:color="auto" w:fill="auto"/>
          </w:tcPr>
          <w:p>
            <w:pPr>
              <w:rPr>
                <w:sz w:val="2"/>
                <w:szCs w:val="2"/>
              </w:rPr>
            </w:pPr>
          </w:p>
        </w:tc>
        <w:tc>
          <w:tcPr>
            <w:tcW w:w="1368" w:type="dxa"/>
            <w:shd w:val="clear" w:color="auto" w:fill="auto"/>
          </w:tcPr>
          <w:p>
            <w:pPr>
              <w:pStyle w:val="42"/>
              <w:spacing w:before="74"/>
              <w:ind w:left="123" w:right="114"/>
              <w:rPr>
                <w:sz w:val="18"/>
              </w:rPr>
            </w:pPr>
            <w:r>
              <w:rPr>
                <w:sz w:val="18"/>
              </w:rPr>
              <w:t>其他资金</w:t>
            </w:r>
          </w:p>
        </w:tc>
        <w:tc>
          <w:tcPr>
            <w:tcW w:w="1080" w:type="dxa"/>
            <w:shd w:val="clear" w:color="auto" w:fill="auto"/>
          </w:tcPr>
          <w:p>
            <w:pPr>
              <w:pStyle w:val="42"/>
              <w:jc w:val="left"/>
              <w:rPr>
                <w:rFonts w:ascii="Times New Roman"/>
                <w:sz w:val="20"/>
              </w:rPr>
            </w:pPr>
          </w:p>
        </w:tc>
        <w:tc>
          <w:tcPr>
            <w:tcW w:w="1731" w:type="dxa"/>
            <w:shd w:val="clear" w:color="auto" w:fill="auto"/>
          </w:tcPr>
          <w:p>
            <w:pPr>
              <w:pStyle w:val="42"/>
              <w:jc w:val="left"/>
              <w:rPr>
                <w:rFonts w:ascii="Times New Roman"/>
                <w:sz w:val="20"/>
              </w:rPr>
            </w:pPr>
          </w:p>
        </w:tc>
        <w:tc>
          <w:tcPr>
            <w:tcW w:w="2468" w:type="dxa"/>
            <w:gridSpan w:val="3"/>
            <w:shd w:val="clear" w:color="auto" w:fill="auto"/>
          </w:tcPr>
          <w:p>
            <w:pPr>
              <w:pStyle w:val="42"/>
              <w:jc w:val="left"/>
              <w:rPr>
                <w:rFonts w:ascii="Times New Roman"/>
                <w:sz w:val="20"/>
              </w:rPr>
            </w:pPr>
          </w:p>
        </w:tc>
        <w:tc>
          <w:tcPr>
            <w:tcW w:w="810" w:type="dxa"/>
            <w:shd w:val="clear" w:color="auto" w:fill="auto"/>
          </w:tcPr>
          <w:p>
            <w:pPr>
              <w:pStyle w:val="42"/>
              <w:jc w:val="left"/>
              <w:rPr>
                <w:rFonts w:ascii="Times New Roman"/>
                <w:sz w:val="20"/>
              </w:rPr>
            </w:pPr>
          </w:p>
        </w:tc>
        <w:tc>
          <w:tcPr>
            <w:tcW w:w="557" w:type="dxa"/>
            <w:shd w:val="clear" w:color="auto" w:fill="auto"/>
          </w:tcPr>
          <w:p>
            <w:pPr>
              <w:pStyle w:val="42"/>
              <w:spacing w:before="74"/>
              <w:ind w:left="8"/>
              <w:rPr>
                <w:sz w:val="18"/>
              </w:rPr>
            </w:pPr>
            <w:r>
              <w:rPr>
                <w:sz w:val="18"/>
              </w:rPr>
              <w:t>/</w:t>
            </w:r>
          </w:p>
        </w:tc>
        <w:tc>
          <w:tcPr>
            <w:tcW w:w="576" w:type="dxa"/>
            <w:shd w:val="clear" w:color="auto" w:fill="auto"/>
          </w:tcPr>
          <w:p>
            <w:pPr>
              <w:pStyle w:val="42"/>
              <w:spacing w:before="74"/>
              <w:ind w:left="7"/>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576" w:type="dxa"/>
            <w:vMerge w:val="restart"/>
            <w:shd w:val="clear" w:color="auto" w:fill="auto"/>
          </w:tcPr>
          <w:p>
            <w:pPr>
              <w:pStyle w:val="42"/>
              <w:jc w:val="left"/>
              <w:rPr>
                <w:sz w:val="18"/>
              </w:rPr>
            </w:pPr>
          </w:p>
          <w:p>
            <w:pPr>
              <w:pStyle w:val="42"/>
              <w:jc w:val="left"/>
              <w:rPr>
                <w:sz w:val="18"/>
              </w:rPr>
            </w:pPr>
          </w:p>
          <w:p>
            <w:pPr>
              <w:pStyle w:val="42"/>
              <w:jc w:val="left"/>
              <w:rPr>
                <w:sz w:val="18"/>
              </w:rPr>
            </w:pPr>
          </w:p>
          <w:p>
            <w:pPr>
              <w:pStyle w:val="42"/>
              <w:jc w:val="left"/>
              <w:rPr>
                <w:sz w:val="18"/>
              </w:rPr>
            </w:pPr>
          </w:p>
          <w:p>
            <w:pPr>
              <w:pStyle w:val="42"/>
              <w:jc w:val="left"/>
              <w:rPr>
                <w:sz w:val="18"/>
              </w:rPr>
            </w:pPr>
          </w:p>
          <w:p>
            <w:pPr>
              <w:pStyle w:val="42"/>
              <w:jc w:val="left"/>
              <w:rPr>
                <w:sz w:val="18"/>
              </w:rPr>
            </w:pPr>
          </w:p>
          <w:p>
            <w:pPr>
              <w:pStyle w:val="42"/>
              <w:jc w:val="left"/>
              <w:rPr>
                <w:sz w:val="18"/>
              </w:rPr>
            </w:pPr>
          </w:p>
          <w:p>
            <w:pPr>
              <w:pStyle w:val="42"/>
              <w:jc w:val="left"/>
              <w:rPr>
                <w:sz w:val="21"/>
              </w:rPr>
            </w:pPr>
          </w:p>
          <w:p>
            <w:pPr>
              <w:pStyle w:val="42"/>
              <w:spacing w:line="324" w:lineRule="auto"/>
              <w:ind w:left="107" w:right="96"/>
              <w:jc w:val="left"/>
              <w:rPr>
                <w:sz w:val="18"/>
              </w:rPr>
            </w:pPr>
            <w:r>
              <w:rPr>
                <w:spacing w:val="-2"/>
                <w:sz w:val="18"/>
              </w:rPr>
              <w:t>绩效</w:t>
            </w:r>
            <w:r>
              <w:rPr>
                <w:spacing w:val="-9"/>
                <w:sz w:val="18"/>
              </w:rPr>
              <w:t>指标</w:t>
            </w:r>
          </w:p>
          <w:p>
            <w:pPr>
              <w:pStyle w:val="42"/>
              <w:spacing w:before="1" w:line="324" w:lineRule="auto"/>
              <w:ind w:left="107" w:right="96"/>
              <w:jc w:val="left"/>
              <w:rPr>
                <w:sz w:val="18"/>
              </w:rPr>
            </w:pPr>
            <w:r>
              <w:rPr>
                <w:sz w:val="18"/>
              </w:rPr>
              <w:t>（90</w:t>
            </w:r>
            <w:r>
              <w:rPr>
                <w:spacing w:val="-88"/>
                <w:sz w:val="18"/>
              </w:rPr>
              <w:t xml:space="preserve"> </w:t>
            </w:r>
            <w:r>
              <w:rPr>
                <w:spacing w:val="-9"/>
                <w:sz w:val="18"/>
              </w:rPr>
              <w:t>分</w:t>
            </w:r>
            <w:r>
              <w:rPr>
                <w:spacing w:val="-8"/>
                <w:sz w:val="18"/>
              </w:rPr>
              <w:t>）</w:t>
            </w:r>
          </w:p>
        </w:tc>
        <w:tc>
          <w:tcPr>
            <w:tcW w:w="1368" w:type="dxa"/>
            <w:shd w:val="clear" w:color="auto" w:fill="auto"/>
          </w:tcPr>
          <w:p>
            <w:pPr>
              <w:pStyle w:val="42"/>
              <w:spacing w:before="6"/>
              <w:jc w:val="left"/>
              <w:rPr>
                <w:sz w:val="15"/>
              </w:rPr>
            </w:pPr>
          </w:p>
          <w:p>
            <w:pPr>
              <w:pStyle w:val="42"/>
              <w:spacing w:before="1"/>
              <w:ind w:left="123" w:right="114"/>
              <w:rPr>
                <w:sz w:val="18"/>
              </w:rPr>
            </w:pPr>
            <w:r>
              <w:rPr>
                <w:sz w:val="18"/>
              </w:rPr>
              <w:t>一级指标</w:t>
            </w:r>
          </w:p>
        </w:tc>
        <w:tc>
          <w:tcPr>
            <w:tcW w:w="1080" w:type="dxa"/>
            <w:shd w:val="clear" w:color="auto" w:fill="auto"/>
          </w:tcPr>
          <w:p>
            <w:pPr>
              <w:pStyle w:val="42"/>
              <w:spacing w:before="6"/>
              <w:jc w:val="left"/>
              <w:rPr>
                <w:sz w:val="15"/>
              </w:rPr>
            </w:pPr>
          </w:p>
          <w:p>
            <w:pPr>
              <w:pStyle w:val="42"/>
              <w:spacing w:before="1"/>
              <w:ind w:left="159" w:right="150"/>
              <w:rPr>
                <w:sz w:val="18"/>
              </w:rPr>
            </w:pPr>
            <w:r>
              <w:rPr>
                <w:sz w:val="18"/>
              </w:rPr>
              <w:t>二级指标</w:t>
            </w:r>
          </w:p>
        </w:tc>
        <w:tc>
          <w:tcPr>
            <w:tcW w:w="1731" w:type="dxa"/>
            <w:shd w:val="clear" w:color="auto" w:fill="auto"/>
          </w:tcPr>
          <w:p>
            <w:pPr>
              <w:pStyle w:val="42"/>
              <w:spacing w:before="6"/>
              <w:jc w:val="left"/>
              <w:rPr>
                <w:sz w:val="15"/>
              </w:rPr>
            </w:pPr>
          </w:p>
          <w:p>
            <w:pPr>
              <w:pStyle w:val="42"/>
              <w:spacing w:before="1"/>
              <w:ind w:left="123" w:right="117"/>
              <w:rPr>
                <w:sz w:val="18"/>
              </w:rPr>
            </w:pPr>
            <w:r>
              <w:rPr>
                <w:sz w:val="18"/>
              </w:rPr>
              <w:t>三级指标</w:t>
            </w:r>
          </w:p>
        </w:tc>
        <w:tc>
          <w:tcPr>
            <w:tcW w:w="587" w:type="dxa"/>
            <w:shd w:val="clear" w:color="auto" w:fill="auto"/>
          </w:tcPr>
          <w:p>
            <w:pPr>
              <w:pStyle w:val="42"/>
              <w:spacing w:before="43"/>
              <w:ind w:left="112"/>
              <w:jc w:val="left"/>
              <w:rPr>
                <w:sz w:val="18"/>
              </w:rPr>
            </w:pPr>
            <w:r>
              <w:rPr>
                <w:sz w:val="18"/>
              </w:rPr>
              <w:t>指标</w:t>
            </w:r>
          </w:p>
          <w:p>
            <w:pPr>
              <w:pStyle w:val="42"/>
              <w:spacing w:before="81"/>
              <w:ind w:left="112"/>
              <w:jc w:val="left"/>
              <w:rPr>
                <w:sz w:val="18"/>
              </w:rPr>
            </w:pPr>
            <w:r>
              <w:rPr>
                <w:sz w:val="18"/>
              </w:rPr>
              <w:t>性质</w:t>
            </w:r>
          </w:p>
        </w:tc>
        <w:tc>
          <w:tcPr>
            <w:tcW w:w="1256" w:type="dxa"/>
            <w:shd w:val="clear" w:color="auto" w:fill="auto"/>
          </w:tcPr>
          <w:p>
            <w:pPr>
              <w:pStyle w:val="42"/>
              <w:spacing w:before="6"/>
              <w:jc w:val="left"/>
              <w:rPr>
                <w:sz w:val="15"/>
              </w:rPr>
            </w:pPr>
          </w:p>
          <w:p>
            <w:pPr>
              <w:pStyle w:val="42"/>
              <w:spacing w:before="1"/>
              <w:ind w:left="157" w:right="148"/>
              <w:rPr>
                <w:sz w:val="18"/>
              </w:rPr>
            </w:pPr>
            <w:r>
              <w:rPr>
                <w:sz w:val="18"/>
              </w:rPr>
              <w:t>指标值</w:t>
            </w:r>
          </w:p>
        </w:tc>
        <w:tc>
          <w:tcPr>
            <w:tcW w:w="625" w:type="dxa"/>
            <w:shd w:val="clear" w:color="auto" w:fill="auto"/>
          </w:tcPr>
          <w:p>
            <w:pPr>
              <w:pStyle w:val="42"/>
              <w:spacing w:before="43"/>
              <w:ind w:left="131"/>
              <w:jc w:val="left"/>
              <w:rPr>
                <w:sz w:val="18"/>
              </w:rPr>
            </w:pPr>
            <w:r>
              <w:rPr>
                <w:sz w:val="18"/>
              </w:rPr>
              <w:t>度量</w:t>
            </w:r>
          </w:p>
          <w:p>
            <w:pPr>
              <w:pStyle w:val="42"/>
              <w:spacing w:before="81"/>
              <w:ind w:left="131"/>
              <w:jc w:val="left"/>
              <w:rPr>
                <w:sz w:val="18"/>
              </w:rPr>
            </w:pPr>
            <w:r>
              <w:rPr>
                <w:sz w:val="18"/>
              </w:rPr>
              <w:t>单位</w:t>
            </w:r>
          </w:p>
        </w:tc>
        <w:tc>
          <w:tcPr>
            <w:tcW w:w="810" w:type="dxa"/>
            <w:shd w:val="clear" w:color="auto" w:fill="auto"/>
          </w:tcPr>
          <w:p>
            <w:pPr>
              <w:pStyle w:val="42"/>
              <w:spacing w:before="6"/>
              <w:jc w:val="left"/>
              <w:rPr>
                <w:sz w:val="15"/>
              </w:rPr>
            </w:pPr>
          </w:p>
          <w:p>
            <w:pPr>
              <w:pStyle w:val="42"/>
              <w:spacing w:before="1"/>
              <w:ind w:left="114" w:right="104"/>
              <w:rPr>
                <w:sz w:val="18"/>
              </w:rPr>
            </w:pPr>
            <w:r>
              <w:rPr>
                <w:sz w:val="18"/>
              </w:rPr>
              <w:t>完成值</w:t>
            </w:r>
          </w:p>
        </w:tc>
        <w:tc>
          <w:tcPr>
            <w:tcW w:w="557" w:type="dxa"/>
            <w:shd w:val="clear" w:color="auto" w:fill="auto"/>
          </w:tcPr>
          <w:p>
            <w:pPr>
              <w:pStyle w:val="42"/>
              <w:spacing w:before="43"/>
              <w:ind w:left="186"/>
              <w:jc w:val="left"/>
              <w:rPr>
                <w:sz w:val="18"/>
              </w:rPr>
            </w:pPr>
            <w:r>
              <w:rPr>
                <w:sz w:val="18"/>
              </w:rPr>
              <w:t>权</w:t>
            </w:r>
          </w:p>
          <w:p>
            <w:pPr>
              <w:pStyle w:val="42"/>
              <w:spacing w:before="81"/>
              <w:ind w:left="186"/>
              <w:jc w:val="left"/>
              <w:rPr>
                <w:sz w:val="18"/>
              </w:rPr>
            </w:pPr>
            <w:r>
              <w:rPr>
                <w:sz w:val="18"/>
              </w:rPr>
              <w:t>重</w:t>
            </w:r>
          </w:p>
        </w:tc>
        <w:tc>
          <w:tcPr>
            <w:tcW w:w="576" w:type="dxa"/>
            <w:shd w:val="clear" w:color="auto" w:fill="auto"/>
          </w:tcPr>
          <w:p>
            <w:pPr>
              <w:pStyle w:val="42"/>
              <w:spacing w:before="6"/>
              <w:jc w:val="left"/>
              <w:rPr>
                <w:sz w:val="15"/>
              </w:rPr>
            </w:pPr>
          </w:p>
          <w:p>
            <w:pPr>
              <w:pStyle w:val="42"/>
              <w:spacing w:before="1"/>
              <w:ind w:left="107"/>
              <w:jc w:val="left"/>
              <w:rPr>
                <w:sz w:val="18"/>
              </w:rPr>
            </w:pPr>
            <w:r>
              <w:rPr>
                <w:sz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8" w:hRule="atLeast"/>
        </w:trPr>
        <w:tc>
          <w:tcPr>
            <w:tcW w:w="576" w:type="dxa"/>
            <w:vMerge w:val="continue"/>
            <w:tcBorders>
              <w:top w:val="nil"/>
            </w:tcBorders>
            <w:shd w:val="clear" w:color="auto" w:fill="auto"/>
          </w:tcPr>
          <w:p>
            <w:pPr>
              <w:rPr>
                <w:sz w:val="2"/>
                <w:szCs w:val="2"/>
              </w:rPr>
            </w:pPr>
          </w:p>
        </w:tc>
        <w:tc>
          <w:tcPr>
            <w:tcW w:w="1368" w:type="dxa"/>
            <w:vMerge w:val="restart"/>
            <w:shd w:val="clear" w:color="auto" w:fill="auto"/>
          </w:tcPr>
          <w:p>
            <w:pPr>
              <w:pStyle w:val="42"/>
              <w:jc w:val="left"/>
              <w:rPr>
                <w:sz w:val="18"/>
              </w:rPr>
            </w:pPr>
          </w:p>
          <w:p>
            <w:pPr>
              <w:pStyle w:val="42"/>
              <w:jc w:val="left"/>
              <w:rPr>
                <w:sz w:val="18"/>
              </w:rPr>
            </w:pPr>
          </w:p>
          <w:p>
            <w:pPr>
              <w:pStyle w:val="42"/>
              <w:jc w:val="left"/>
              <w:rPr>
                <w:sz w:val="18"/>
              </w:rPr>
            </w:pPr>
          </w:p>
          <w:p>
            <w:pPr>
              <w:pStyle w:val="42"/>
              <w:jc w:val="left"/>
              <w:rPr>
                <w:sz w:val="18"/>
              </w:rPr>
            </w:pPr>
          </w:p>
          <w:p>
            <w:pPr>
              <w:pStyle w:val="42"/>
              <w:jc w:val="left"/>
              <w:rPr>
                <w:sz w:val="18"/>
              </w:rPr>
            </w:pPr>
          </w:p>
          <w:p>
            <w:pPr>
              <w:pStyle w:val="42"/>
              <w:jc w:val="left"/>
              <w:rPr>
                <w:sz w:val="18"/>
              </w:rPr>
            </w:pPr>
          </w:p>
          <w:p>
            <w:pPr>
              <w:pStyle w:val="42"/>
              <w:spacing w:before="11"/>
              <w:jc w:val="left"/>
              <w:rPr>
                <w:sz w:val="13"/>
              </w:rPr>
            </w:pPr>
          </w:p>
          <w:p>
            <w:pPr>
              <w:pStyle w:val="42"/>
              <w:ind w:left="323"/>
              <w:jc w:val="left"/>
              <w:rPr>
                <w:sz w:val="18"/>
              </w:rPr>
            </w:pPr>
            <w:r>
              <w:rPr>
                <w:sz w:val="18"/>
              </w:rPr>
              <w:t>产出指标</w:t>
            </w:r>
          </w:p>
        </w:tc>
        <w:tc>
          <w:tcPr>
            <w:tcW w:w="1080" w:type="dxa"/>
            <w:vMerge w:val="restart"/>
            <w:shd w:val="clear" w:color="auto" w:fill="auto"/>
          </w:tcPr>
          <w:p>
            <w:pPr>
              <w:pStyle w:val="42"/>
              <w:jc w:val="left"/>
              <w:rPr>
                <w:sz w:val="18"/>
              </w:rPr>
            </w:pPr>
          </w:p>
          <w:p>
            <w:pPr>
              <w:pStyle w:val="42"/>
              <w:jc w:val="left"/>
              <w:rPr>
                <w:sz w:val="18"/>
              </w:rPr>
            </w:pPr>
          </w:p>
          <w:p>
            <w:pPr>
              <w:pStyle w:val="42"/>
              <w:spacing w:before="119"/>
              <w:ind w:left="179"/>
              <w:jc w:val="left"/>
              <w:rPr>
                <w:sz w:val="18"/>
              </w:rPr>
            </w:pPr>
            <w:r>
              <w:rPr>
                <w:sz w:val="18"/>
              </w:rPr>
              <w:t>数量指标</w:t>
            </w:r>
          </w:p>
        </w:tc>
        <w:tc>
          <w:tcPr>
            <w:tcW w:w="1731" w:type="dxa"/>
            <w:shd w:val="clear" w:color="auto" w:fill="auto"/>
            <w:vAlign w:val="center"/>
          </w:tcPr>
          <w:p>
            <w:pPr>
              <w:keepNext w:val="0"/>
              <w:keepLines w:val="0"/>
              <w:widowControl/>
              <w:suppressLineNumbers w:val="0"/>
              <w:jc w:val="left"/>
              <w:textAlignment w:val="center"/>
              <w:rPr>
                <w:sz w:val="18"/>
              </w:rPr>
            </w:pPr>
            <w:r>
              <w:rPr>
                <w:rFonts w:hint="eastAsia" w:ascii="宋体" w:hAnsi="宋体" w:eastAsia="宋体" w:cs="宋体"/>
                <w:b/>
                <w:bCs/>
                <w:i w:val="0"/>
                <w:iCs w:val="0"/>
                <w:color w:val="000000"/>
                <w:kern w:val="0"/>
                <w:sz w:val="18"/>
                <w:szCs w:val="18"/>
                <w:u w:val="none"/>
                <w:lang w:val="en-US" w:eastAsia="zh-CN" w:bidi="ar"/>
              </w:rPr>
              <w:t>指标1：新建烤房</w:t>
            </w:r>
          </w:p>
        </w:tc>
        <w:tc>
          <w:tcPr>
            <w:tcW w:w="587" w:type="dxa"/>
            <w:shd w:val="clear" w:color="auto" w:fill="auto"/>
          </w:tcPr>
          <w:p>
            <w:pPr>
              <w:pStyle w:val="42"/>
              <w:spacing w:before="54"/>
              <w:ind w:left="9"/>
              <w:rPr>
                <w:sz w:val="18"/>
              </w:rPr>
            </w:pPr>
            <w:r>
              <w:rPr>
                <w:sz w:val="18"/>
              </w:rPr>
              <w:t>＝</w:t>
            </w:r>
          </w:p>
        </w:tc>
        <w:tc>
          <w:tcPr>
            <w:tcW w:w="1256" w:type="dxa"/>
            <w:shd w:val="clear" w:color="auto" w:fill="auto"/>
            <w:vAlign w:val="center"/>
          </w:tcPr>
          <w:p>
            <w:pPr>
              <w:keepNext w:val="0"/>
              <w:keepLines w:val="0"/>
              <w:widowControl/>
              <w:suppressLineNumbers w:val="0"/>
              <w:jc w:val="left"/>
              <w:textAlignment w:val="center"/>
              <w:rPr>
                <w:sz w:val="18"/>
              </w:rPr>
            </w:pPr>
            <w:r>
              <w:rPr>
                <w:rFonts w:hint="eastAsia" w:ascii="宋体" w:hAnsi="宋体" w:eastAsia="宋体" w:cs="宋体"/>
                <w:i w:val="0"/>
                <w:iCs w:val="0"/>
                <w:color w:val="000000"/>
                <w:kern w:val="0"/>
                <w:sz w:val="18"/>
                <w:szCs w:val="18"/>
                <w:u w:val="none"/>
                <w:lang w:val="en-US" w:eastAsia="zh-CN" w:bidi="ar"/>
              </w:rPr>
              <w:t>15</w:t>
            </w:r>
          </w:p>
        </w:tc>
        <w:tc>
          <w:tcPr>
            <w:tcW w:w="625" w:type="dxa"/>
            <w:shd w:val="clear" w:color="auto" w:fill="auto"/>
          </w:tcPr>
          <w:p>
            <w:pPr>
              <w:pStyle w:val="42"/>
              <w:spacing w:before="54"/>
              <w:ind w:left="10"/>
              <w:rPr>
                <w:rFonts w:hint="eastAsia" w:eastAsia="宋体"/>
                <w:sz w:val="18"/>
                <w:lang w:eastAsia="zh-CN"/>
              </w:rPr>
            </w:pPr>
            <w:r>
              <w:rPr>
                <w:rFonts w:hint="eastAsia"/>
                <w:sz w:val="18"/>
                <w:lang w:eastAsia="zh-CN"/>
              </w:rPr>
              <w:t>间</w:t>
            </w:r>
          </w:p>
        </w:tc>
        <w:tc>
          <w:tcPr>
            <w:tcW w:w="810" w:type="dxa"/>
            <w:shd w:val="clear" w:color="auto" w:fill="auto"/>
          </w:tcPr>
          <w:p>
            <w:pPr>
              <w:pStyle w:val="42"/>
              <w:spacing w:before="21"/>
              <w:ind w:left="11"/>
              <w:rPr>
                <w:rFonts w:ascii="微软雅黑"/>
                <w:sz w:val="16"/>
              </w:rPr>
            </w:pPr>
            <w:r>
              <w:rPr>
                <w:rFonts w:ascii="微软雅黑"/>
                <w:w w:val="100"/>
                <w:sz w:val="16"/>
              </w:rPr>
              <w:t>1</w:t>
            </w:r>
          </w:p>
        </w:tc>
        <w:tc>
          <w:tcPr>
            <w:tcW w:w="557" w:type="dxa"/>
            <w:shd w:val="clear" w:color="auto" w:fill="auto"/>
          </w:tcPr>
          <w:p>
            <w:pPr>
              <w:pStyle w:val="42"/>
              <w:spacing w:before="54"/>
              <w:ind w:left="121" w:right="113"/>
              <w:rPr>
                <w:sz w:val="18"/>
              </w:rPr>
            </w:pPr>
            <w:r>
              <w:rPr>
                <w:sz w:val="18"/>
              </w:rPr>
              <w:t>10</w:t>
            </w:r>
          </w:p>
        </w:tc>
        <w:tc>
          <w:tcPr>
            <w:tcW w:w="576" w:type="dxa"/>
            <w:shd w:val="clear" w:color="auto" w:fill="auto"/>
          </w:tcPr>
          <w:p>
            <w:pPr>
              <w:pStyle w:val="42"/>
              <w:spacing w:before="54"/>
              <w:ind w:left="198"/>
              <w:jc w:val="left"/>
              <w:rPr>
                <w:sz w:val="18"/>
              </w:rPr>
            </w:pPr>
            <w:r>
              <w:rPr>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9" w:hRule="atLeast"/>
        </w:trPr>
        <w:tc>
          <w:tcPr>
            <w:tcW w:w="576" w:type="dxa"/>
            <w:vMerge w:val="continue"/>
            <w:tcBorders>
              <w:top w:val="nil"/>
            </w:tcBorders>
            <w:shd w:val="clear" w:color="auto" w:fill="auto"/>
          </w:tcPr>
          <w:p>
            <w:pPr>
              <w:rPr>
                <w:sz w:val="2"/>
                <w:szCs w:val="2"/>
              </w:rPr>
            </w:pPr>
          </w:p>
        </w:tc>
        <w:tc>
          <w:tcPr>
            <w:tcW w:w="1368" w:type="dxa"/>
            <w:vMerge w:val="continue"/>
            <w:tcBorders>
              <w:top w:val="nil"/>
            </w:tcBorders>
            <w:shd w:val="clear" w:color="auto" w:fill="auto"/>
          </w:tcPr>
          <w:p>
            <w:pPr>
              <w:rPr>
                <w:sz w:val="2"/>
                <w:szCs w:val="2"/>
              </w:rPr>
            </w:pPr>
          </w:p>
        </w:tc>
        <w:tc>
          <w:tcPr>
            <w:tcW w:w="1080" w:type="dxa"/>
            <w:vMerge w:val="continue"/>
            <w:tcBorders>
              <w:top w:val="nil"/>
            </w:tcBorders>
            <w:shd w:val="clear" w:color="auto" w:fill="auto"/>
          </w:tcPr>
          <w:p>
            <w:pPr>
              <w:rPr>
                <w:sz w:val="2"/>
                <w:szCs w:val="2"/>
              </w:rPr>
            </w:pPr>
          </w:p>
        </w:tc>
        <w:tc>
          <w:tcPr>
            <w:tcW w:w="1731" w:type="dxa"/>
            <w:shd w:val="clear" w:color="auto" w:fill="auto"/>
            <w:vAlign w:val="center"/>
          </w:tcPr>
          <w:p>
            <w:pPr>
              <w:keepNext w:val="0"/>
              <w:keepLines w:val="0"/>
              <w:widowControl/>
              <w:suppressLineNumbers w:val="0"/>
              <w:jc w:val="left"/>
              <w:textAlignment w:val="center"/>
              <w:rPr>
                <w:sz w:val="18"/>
              </w:rPr>
            </w:pPr>
            <w:r>
              <w:rPr>
                <w:rFonts w:hint="eastAsia" w:ascii="宋体" w:hAnsi="宋体" w:eastAsia="宋体" w:cs="宋体"/>
                <w:b/>
                <w:bCs/>
                <w:i w:val="0"/>
                <w:iCs w:val="0"/>
                <w:color w:val="000000"/>
                <w:kern w:val="0"/>
                <w:sz w:val="18"/>
                <w:szCs w:val="18"/>
                <w:u w:val="none"/>
                <w:lang w:val="en-US" w:eastAsia="zh-CN" w:bidi="ar"/>
              </w:rPr>
              <w:t>指标2：技术培训</w:t>
            </w:r>
          </w:p>
        </w:tc>
        <w:tc>
          <w:tcPr>
            <w:tcW w:w="587" w:type="dxa"/>
            <w:shd w:val="clear" w:color="auto" w:fill="auto"/>
          </w:tcPr>
          <w:p>
            <w:pPr>
              <w:pStyle w:val="42"/>
              <w:spacing w:before="56"/>
              <w:ind w:left="9"/>
              <w:rPr>
                <w:sz w:val="18"/>
              </w:rPr>
            </w:pPr>
            <w:r>
              <w:rPr>
                <w:sz w:val="18"/>
              </w:rPr>
              <w:t>＝</w:t>
            </w:r>
          </w:p>
        </w:tc>
        <w:tc>
          <w:tcPr>
            <w:tcW w:w="1256" w:type="dxa"/>
            <w:shd w:val="clear" w:color="auto" w:fill="auto"/>
            <w:vAlign w:val="center"/>
          </w:tcPr>
          <w:p>
            <w:pPr>
              <w:keepNext w:val="0"/>
              <w:keepLines w:val="0"/>
              <w:widowControl/>
              <w:suppressLineNumbers w:val="0"/>
              <w:jc w:val="left"/>
              <w:textAlignment w:val="center"/>
              <w:rPr>
                <w:sz w:val="18"/>
              </w:rPr>
            </w:pPr>
            <w:r>
              <w:rPr>
                <w:rFonts w:hint="eastAsia" w:ascii="宋体" w:hAnsi="宋体" w:eastAsia="宋体" w:cs="宋体"/>
                <w:i w:val="0"/>
                <w:iCs w:val="0"/>
                <w:color w:val="000000"/>
                <w:kern w:val="0"/>
                <w:sz w:val="22"/>
                <w:szCs w:val="22"/>
                <w:u w:val="none"/>
                <w:lang w:val="en-US" w:eastAsia="zh-CN" w:bidi="ar"/>
              </w:rPr>
              <w:t>4</w:t>
            </w:r>
          </w:p>
        </w:tc>
        <w:tc>
          <w:tcPr>
            <w:tcW w:w="625" w:type="dxa"/>
            <w:shd w:val="clear" w:color="auto" w:fill="auto"/>
          </w:tcPr>
          <w:p>
            <w:pPr>
              <w:pStyle w:val="42"/>
              <w:spacing w:before="56"/>
              <w:ind w:left="10"/>
              <w:rPr>
                <w:rFonts w:hint="eastAsia" w:eastAsia="宋体"/>
                <w:sz w:val="18"/>
                <w:lang w:eastAsia="zh-CN"/>
              </w:rPr>
            </w:pPr>
            <w:r>
              <w:rPr>
                <w:rFonts w:hint="eastAsia"/>
                <w:sz w:val="18"/>
                <w:lang w:eastAsia="zh-CN"/>
              </w:rPr>
              <w:t>次</w:t>
            </w:r>
          </w:p>
        </w:tc>
        <w:tc>
          <w:tcPr>
            <w:tcW w:w="810" w:type="dxa"/>
            <w:shd w:val="clear" w:color="auto" w:fill="auto"/>
          </w:tcPr>
          <w:p>
            <w:pPr>
              <w:pStyle w:val="42"/>
              <w:spacing w:before="22"/>
              <w:ind w:left="11"/>
              <w:rPr>
                <w:rFonts w:ascii="微软雅黑"/>
                <w:sz w:val="16"/>
              </w:rPr>
            </w:pPr>
            <w:r>
              <w:rPr>
                <w:rFonts w:ascii="微软雅黑"/>
                <w:w w:val="100"/>
                <w:sz w:val="16"/>
              </w:rPr>
              <w:t>4</w:t>
            </w:r>
          </w:p>
        </w:tc>
        <w:tc>
          <w:tcPr>
            <w:tcW w:w="557" w:type="dxa"/>
            <w:shd w:val="clear" w:color="auto" w:fill="auto"/>
          </w:tcPr>
          <w:p>
            <w:pPr>
              <w:pStyle w:val="42"/>
              <w:spacing w:before="56"/>
              <w:ind w:left="121" w:right="113"/>
              <w:rPr>
                <w:sz w:val="18"/>
              </w:rPr>
            </w:pPr>
            <w:r>
              <w:rPr>
                <w:sz w:val="18"/>
              </w:rPr>
              <w:t>10</w:t>
            </w:r>
          </w:p>
        </w:tc>
        <w:tc>
          <w:tcPr>
            <w:tcW w:w="576" w:type="dxa"/>
            <w:shd w:val="clear" w:color="auto" w:fill="auto"/>
          </w:tcPr>
          <w:p>
            <w:pPr>
              <w:pStyle w:val="42"/>
              <w:spacing w:before="56"/>
              <w:ind w:left="198"/>
              <w:jc w:val="left"/>
              <w:rPr>
                <w:sz w:val="18"/>
              </w:rPr>
            </w:pPr>
            <w:r>
              <w:rPr>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8" w:hRule="atLeast"/>
        </w:trPr>
        <w:tc>
          <w:tcPr>
            <w:tcW w:w="576" w:type="dxa"/>
            <w:vMerge w:val="continue"/>
            <w:tcBorders>
              <w:top w:val="nil"/>
            </w:tcBorders>
            <w:shd w:val="clear" w:color="auto" w:fill="auto"/>
          </w:tcPr>
          <w:p>
            <w:pPr>
              <w:rPr>
                <w:sz w:val="2"/>
                <w:szCs w:val="2"/>
              </w:rPr>
            </w:pPr>
          </w:p>
        </w:tc>
        <w:tc>
          <w:tcPr>
            <w:tcW w:w="1368" w:type="dxa"/>
            <w:vMerge w:val="continue"/>
            <w:tcBorders>
              <w:top w:val="nil"/>
            </w:tcBorders>
            <w:shd w:val="clear" w:color="auto" w:fill="auto"/>
          </w:tcPr>
          <w:p>
            <w:pPr>
              <w:rPr>
                <w:sz w:val="2"/>
                <w:szCs w:val="2"/>
              </w:rPr>
            </w:pPr>
          </w:p>
        </w:tc>
        <w:tc>
          <w:tcPr>
            <w:tcW w:w="1080" w:type="dxa"/>
            <w:vMerge w:val="continue"/>
            <w:tcBorders>
              <w:top w:val="nil"/>
            </w:tcBorders>
            <w:shd w:val="clear" w:color="auto" w:fill="auto"/>
          </w:tcPr>
          <w:p>
            <w:pPr>
              <w:rPr>
                <w:sz w:val="2"/>
                <w:szCs w:val="2"/>
              </w:rPr>
            </w:pPr>
          </w:p>
        </w:tc>
        <w:tc>
          <w:tcPr>
            <w:tcW w:w="1731" w:type="dxa"/>
            <w:shd w:val="clear" w:color="auto" w:fill="auto"/>
            <w:vAlign w:val="center"/>
          </w:tcPr>
          <w:p>
            <w:pPr>
              <w:keepNext w:val="0"/>
              <w:keepLines w:val="0"/>
              <w:widowControl/>
              <w:suppressLineNumbers w:val="0"/>
              <w:jc w:val="left"/>
              <w:textAlignment w:val="center"/>
              <w:rPr>
                <w:sz w:val="18"/>
              </w:rPr>
            </w:pPr>
            <w:r>
              <w:rPr>
                <w:rFonts w:hint="eastAsia" w:ascii="宋体" w:hAnsi="宋体" w:eastAsia="宋体" w:cs="宋体"/>
                <w:b/>
                <w:bCs/>
                <w:i w:val="0"/>
                <w:iCs w:val="0"/>
                <w:color w:val="000000"/>
                <w:kern w:val="0"/>
                <w:sz w:val="18"/>
                <w:szCs w:val="18"/>
                <w:u w:val="none"/>
                <w:lang w:val="en-US" w:eastAsia="zh-CN" w:bidi="ar"/>
              </w:rPr>
              <w:t>指标3：烟地整理</w:t>
            </w:r>
          </w:p>
        </w:tc>
        <w:tc>
          <w:tcPr>
            <w:tcW w:w="587" w:type="dxa"/>
            <w:shd w:val="clear" w:color="auto" w:fill="auto"/>
          </w:tcPr>
          <w:p>
            <w:pPr>
              <w:pStyle w:val="42"/>
              <w:spacing w:before="55"/>
              <w:ind w:left="9"/>
              <w:rPr>
                <w:sz w:val="18"/>
              </w:rPr>
            </w:pPr>
            <w:r>
              <w:rPr>
                <w:sz w:val="18"/>
              </w:rPr>
              <w:t>＝</w:t>
            </w:r>
          </w:p>
        </w:tc>
        <w:tc>
          <w:tcPr>
            <w:tcW w:w="1256" w:type="dxa"/>
            <w:shd w:val="clear" w:color="auto" w:fill="auto"/>
            <w:vAlign w:val="center"/>
          </w:tcPr>
          <w:p>
            <w:pPr>
              <w:keepNext w:val="0"/>
              <w:keepLines w:val="0"/>
              <w:widowControl/>
              <w:suppressLineNumbers w:val="0"/>
              <w:jc w:val="left"/>
              <w:textAlignment w:val="center"/>
              <w:rPr>
                <w:sz w:val="18"/>
              </w:rPr>
            </w:pPr>
            <w:r>
              <w:rPr>
                <w:rFonts w:hint="eastAsia" w:ascii="宋体" w:hAnsi="宋体" w:eastAsia="宋体" w:cs="宋体"/>
                <w:i w:val="0"/>
                <w:iCs w:val="0"/>
                <w:color w:val="000000"/>
                <w:kern w:val="0"/>
                <w:sz w:val="22"/>
                <w:szCs w:val="22"/>
                <w:u w:val="none"/>
                <w:lang w:val="en-US" w:eastAsia="zh-CN" w:bidi="ar"/>
              </w:rPr>
              <w:t>800</w:t>
            </w:r>
          </w:p>
        </w:tc>
        <w:tc>
          <w:tcPr>
            <w:tcW w:w="625" w:type="dxa"/>
            <w:shd w:val="clear" w:color="auto" w:fill="auto"/>
          </w:tcPr>
          <w:p>
            <w:pPr>
              <w:pStyle w:val="42"/>
              <w:spacing w:before="55"/>
              <w:ind w:left="10"/>
              <w:rPr>
                <w:rFonts w:hint="eastAsia" w:eastAsia="宋体"/>
                <w:sz w:val="18"/>
                <w:lang w:eastAsia="zh-CN"/>
              </w:rPr>
            </w:pPr>
            <w:r>
              <w:rPr>
                <w:rFonts w:hint="eastAsia"/>
                <w:sz w:val="18"/>
                <w:lang w:eastAsia="zh-CN"/>
              </w:rPr>
              <w:t>亩</w:t>
            </w:r>
          </w:p>
        </w:tc>
        <w:tc>
          <w:tcPr>
            <w:tcW w:w="810" w:type="dxa"/>
            <w:shd w:val="clear" w:color="auto" w:fill="auto"/>
          </w:tcPr>
          <w:p>
            <w:pPr>
              <w:pStyle w:val="42"/>
              <w:spacing w:before="21"/>
              <w:ind w:left="113" w:right="104"/>
              <w:rPr>
                <w:rFonts w:ascii="微软雅黑"/>
                <w:sz w:val="16"/>
              </w:rPr>
            </w:pPr>
            <w:r>
              <w:rPr>
                <w:rFonts w:ascii="微软雅黑"/>
                <w:sz w:val="16"/>
              </w:rPr>
              <w:t>11</w:t>
            </w:r>
          </w:p>
        </w:tc>
        <w:tc>
          <w:tcPr>
            <w:tcW w:w="557" w:type="dxa"/>
            <w:shd w:val="clear" w:color="auto" w:fill="auto"/>
          </w:tcPr>
          <w:p>
            <w:pPr>
              <w:pStyle w:val="42"/>
              <w:spacing w:before="55"/>
              <w:ind w:left="121" w:right="113"/>
              <w:rPr>
                <w:sz w:val="18"/>
              </w:rPr>
            </w:pPr>
            <w:r>
              <w:rPr>
                <w:sz w:val="18"/>
              </w:rPr>
              <w:t>10</w:t>
            </w:r>
          </w:p>
        </w:tc>
        <w:tc>
          <w:tcPr>
            <w:tcW w:w="576" w:type="dxa"/>
            <w:shd w:val="clear" w:color="auto" w:fill="auto"/>
          </w:tcPr>
          <w:p>
            <w:pPr>
              <w:pStyle w:val="42"/>
              <w:spacing w:before="55"/>
              <w:ind w:left="198"/>
              <w:jc w:val="left"/>
              <w:rPr>
                <w:sz w:val="18"/>
              </w:rPr>
            </w:pPr>
            <w:r>
              <w:rPr>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9" w:hRule="atLeast"/>
        </w:trPr>
        <w:tc>
          <w:tcPr>
            <w:tcW w:w="576" w:type="dxa"/>
            <w:vMerge w:val="continue"/>
            <w:tcBorders>
              <w:top w:val="nil"/>
            </w:tcBorders>
            <w:shd w:val="clear" w:color="auto" w:fill="auto"/>
          </w:tcPr>
          <w:p>
            <w:pPr>
              <w:rPr>
                <w:sz w:val="2"/>
                <w:szCs w:val="2"/>
              </w:rPr>
            </w:pPr>
          </w:p>
        </w:tc>
        <w:tc>
          <w:tcPr>
            <w:tcW w:w="1368" w:type="dxa"/>
            <w:vMerge w:val="continue"/>
            <w:tcBorders>
              <w:top w:val="nil"/>
            </w:tcBorders>
            <w:shd w:val="clear" w:color="auto" w:fill="auto"/>
          </w:tcPr>
          <w:p>
            <w:pPr>
              <w:rPr>
                <w:sz w:val="2"/>
                <w:szCs w:val="2"/>
              </w:rPr>
            </w:pPr>
          </w:p>
        </w:tc>
        <w:tc>
          <w:tcPr>
            <w:tcW w:w="1080" w:type="dxa"/>
            <w:vMerge w:val="restart"/>
            <w:shd w:val="clear" w:color="auto" w:fill="auto"/>
          </w:tcPr>
          <w:p>
            <w:pPr>
              <w:pStyle w:val="42"/>
              <w:jc w:val="left"/>
              <w:rPr>
                <w:sz w:val="18"/>
              </w:rPr>
            </w:pPr>
          </w:p>
          <w:p>
            <w:pPr>
              <w:pStyle w:val="42"/>
              <w:jc w:val="left"/>
              <w:rPr>
                <w:sz w:val="18"/>
              </w:rPr>
            </w:pPr>
          </w:p>
          <w:p>
            <w:pPr>
              <w:pStyle w:val="42"/>
              <w:spacing w:before="9"/>
              <w:jc w:val="left"/>
              <w:rPr>
                <w:sz w:val="17"/>
              </w:rPr>
            </w:pPr>
          </w:p>
          <w:p>
            <w:pPr>
              <w:pStyle w:val="42"/>
              <w:spacing w:before="1"/>
              <w:ind w:left="179"/>
              <w:jc w:val="left"/>
              <w:rPr>
                <w:sz w:val="18"/>
              </w:rPr>
            </w:pPr>
            <w:r>
              <w:rPr>
                <w:rFonts w:hint="eastAsia"/>
                <w:sz w:val="18"/>
                <w:lang w:eastAsia="zh-CN"/>
              </w:rPr>
              <w:t>时效</w:t>
            </w:r>
            <w:r>
              <w:rPr>
                <w:sz w:val="18"/>
              </w:rPr>
              <w:t>指标</w:t>
            </w:r>
          </w:p>
        </w:tc>
        <w:tc>
          <w:tcPr>
            <w:tcW w:w="1731" w:type="dxa"/>
            <w:shd w:val="clear" w:color="auto" w:fill="auto"/>
          </w:tcPr>
          <w:p>
            <w:pPr>
              <w:pStyle w:val="42"/>
              <w:spacing w:before="55"/>
              <w:ind w:left="123" w:right="117"/>
              <w:rPr>
                <w:sz w:val="18"/>
              </w:rPr>
            </w:pPr>
            <w:r>
              <w:rPr>
                <w:rFonts w:hint="eastAsia" w:ascii="宋体" w:hAnsi="宋体" w:eastAsia="宋体" w:cs="宋体"/>
                <w:b/>
                <w:bCs/>
                <w:i w:val="0"/>
                <w:iCs w:val="0"/>
                <w:color w:val="000000"/>
                <w:kern w:val="0"/>
                <w:sz w:val="18"/>
                <w:szCs w:val="18"/>
                <w:u w:val="none"/>
                <w:lang w:val="en-US" w:eastAsia="zh-CN" w:bidi="ar"/>
              </w:rPr>
              <w:t>烟叶质量及税收完成率</w:t>
            </w:r>
          </w:p>
        </w:tc>
        <w:tc>
          <w:tcPr>
            <w:tcW w:w="587" w:type="dxa"/>
            <w:shd w:val="clear" w:color="auto" w:fill="auto"/>
          </w:tcPr>
          <w:p>
            <w:pPr>
              <w:pStyle w:val="42"/>
              <w:spacing w:before="55"/>
              <w:ind w:left="92" w:right="85"/>
              <w:rPr>
                <w:sz w:val="18"/>
              </w:rPr>
            </w:pPr>
            <w:r>
              <w:rPr>
                <w:sz w:val="18"/>
              </w:rPr>
              <w:t>≥</w:t>
            </w:r>
          </w:p>
        </w:tc>
        <w:tc>
          <w:tcPr>
            <w:tcW w:w="1256" w:type="dxa"/>
            <w:shd w:val="clear" w:color="auto" w:fill="auto"/>
          </w:tcPr>
          <w:p>
            <w:pPr>
              <w:pStyle w:val="42"/>
              <w:spacing w:before="55"/>
              <w:ind w:left="157" w:right="148"/>
              <w:rPr>
                <w:sz w:val="18"/>
              </w:rPr>
            </w:pPr>
            <w:r>
              <w:rPr>
                <w:rFonts w:hint="eastAsia" w:ascii="宋体" w:hAnsi="宋体" w:eastAsia="宋体" w:cs="宋体"/>
                <w:i w:val="0"/>
                <w:iCs w:val="0"/>
                <w:color w:val="000000"/>
                <w:kern w:val="0"/>
                <w:sz w:val="18"/>
                <w:szCs w:val="18"/>
                <w:u w:val="none"/>
                <w:lang w:val="en-US" w:eastAsia="zh-CN" w:bidi="ar"/>
              </w:rPr>
              <w:t>烟叶质量良好，税收完成100%</w:t>
            </w:r>
          </w:p>
        </w:tc>
        <w:tc>
          <w:tcPr>
            <w:tcW w:w="625" w:type="dxa"/>
            <w:shd w:val="clear" w:color="auto" w:fill="auto"/>
          </w:tcPr>
          <w:p>
            <w:pPr>
              <w:pStyle w:val="42"/>
              <w:jc w:val="left"/>
              <w:rPr>
                <w:rFonts w:ascii="Times New Roman"/>
                <w:sz w:val="20"/>
              </w:rPr>
            </w:pPr>
          </w:p>
        </w:tc>
        <w:tc>
          <w:tcPr>
            <w:tcW w:w="810" w:type="dxa"/>
            <w:shd w:val="clear" w:color="auto" w:fill="auto"/>
          </w:tcPr>
          <w:p>
            <w:pPr>
              <w:pStyle w:val="42"/>
              <w:spacing w:before="22"/>
              <w:ind w:left="10"/>
              <w:rPr>
                <w:rFonts w:hint="eastAsia" w:ascii="微软雅黑" w:eastAsia="微软雅黑"/>
                <w:sz w:val="16"/>
              </w:rPr>
            </w:pPr>
            <w:r>
              <w:rPr>
                <w:rFonts w:hint="eastAsia" w:ascii="宋体" w:hAnsi="宋体" w:eastAsia="宋体" w:cs="宋体"/>
                <w:i w:val="0"/>
                <w:iCs w:val="0"/>
                <w:color w:val="000000"/>
                <w:kern w:val="0"/>
                <w:sz w:val="18"/>
                <w:szCs w:val="18"/>
                <w:u w:val="none"/>
                <w:lang w:val="en-US" w:eastAsia="zh-CN" w:bidi="ar"/>
              </w:rPr>
              <w:t>100%</w:t>
            </w:r>
          </w:p>
        </w:tc>
        <w:tc>
          <w:tcPr>
            <w:tcW w:w="557" w:type="dxa"/>
            <w:shd w:val="clear" w:color="auto" w:fill="auto"/>
          </w:tcPr>
          <w:p>
            <w:pPr>
              <w:pStyle w:val="42"/>
              <w:spacing w:before="55"/>
              <w:ind w:left="121" w:right="113"/>
              <w:rPr>
                <w:sz w:val="18"/>
              </w:rPr>
            </w:pPr>
            <w:r>
              <w:rPr>
                <w:sz w:val="18"/>
              </w:rPr>
              <w:t>10</w:t>
            </w:r>
          </w:p>
        </w:tc>
        <w:tc>
          <w:tcPr>
            <w:tcW w:w="576" w:type="dxa"/>
            <w:shd w:val="clear" w:color="auto" w:fill="auto"/>
          </w:tcPr>
          <w:p>
            <w:pPr>
              <w:pStyle w:val="42"/>
              <w:spacing w:before="55"/>
              <w:ind w:left="198"/>
              <w:jc w:val="left"/>
              <w:rPr>
                <w:sz w:val="18"/>
              </w:rPr>
            </w:pPr>
            <w:r>
              <w:rPr>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576" w:type="dxa"/>
            <w:vMerge w:val="continue"/>
            <w:tcBorders>
              <w:top w:val="nil"/>
            </w:tcBorders>
            <w:shd w:val="clear" w:color="auto" w:fill="auto"/>
          </w:tcPr>
          <w:p>
            <w:pPr>
              <w:rPr>
                <w:sz w:val="2"/>
                <w:szCs w:val="2"/>
              </w:rPr>
            </w:pPr>
          </w:p>
        </w:tc>
        <w:tc>
          <w:tcPr>
            <w:tcW w:w="1368" w:type="dxa"/>
            <w:vMerge w:val="continue"/>
            <w:tcBorders>
              <w:top w:val="nil"/>
            </w:tcBorders>
            <w:shd w:val="clear" w:color="auto" w:fill="auto"/>
          </w:tcPr>
          <w:p>
            <w:pPr>
              <w:rPr>
                <w:sz w:val="2"/>
                <w:szCs w:val="2"/>
              </w:rPr>
            </w:pPr>
          </w:p>
        </w:tc>
        <w:tc>
          <w:tcPr>
            <w:tcW w:w="1080" w:type="dxa"/>
            <w:vMerge w:val="continue"/>
            <w:tcBorders>
              <w:top w:val="nil"/>
            </w:tcBorders>
            <w:shd w:val="clear" w:color="auto" w:fill="auto"/>
          </w:tcPr>
          <w:p>
            <w:pPr>
              <w:rPr>
                <w:sz w:val="2"/>
                <w:szCs w:val="2"/>
              </w:rPr>
            </w:pPr>
          </w:p>
        </w:tc>
        <w:tc>
          <w:tcPr>
            <w:tcW w:w="1731" w:type="dxa"/>
            <w:shd w:val="clear" w:color="auto" w:fill="auto"/>
          </w:tcPr>
          <w:p>
            <w:pPr>
              <w:pStyle w:val="42"/>
              <w:spacing w:before="81"/>
              <w:ind w:left="123" w:right="117"/>
              <w:rPr>
                <w:sz w:val="18"/>
              </w:rPr>
            </w:pPr>
            <w:r>
              <w:rPr>
                <w:rFonts w:hint="eastAsia" w:ascii="宋体" w:hAnsi="宋体" w:eastAsia="宋体" w:cs="宋体"/>
                <w:b/>
                <w:bCs/>
                <w:i w:val="0"/>
                <w:iCs w:val="0"/>
                <w:color w:val="000000"/>
                <w:kern w:val="0"/>
                <w:sz w:val="18"/>
                <w:szCs w:val="18"/>
                <w:u w:val="none"/>
                <w:lang w:val="en-US" w:eastAsia="zh-CN" w:bidi="ar"/>
              </w:rPr>
              <w:t>烟叶税收目标任务完成及时性</w:t>
            </w:r>
          </w:p>
        </w:tc>
        <w:tc>
          <w:tcPr>
            <w:tcW w:w="587" w:type="dxa"/>
            <w:shd w:val="clear" w:color="auto" w:fill="auto"/>
          </w:tcPr>
          <w:p>
            <w:pPr>
              <w:pStyle w:val="42"/>
              <w:spacing w:before="6"/>
              <w:jc w:val="left"/>
              <w:rPr>
                <w:sz w:val="15"/>
              </w:rPr>
            </w:pPr>
          </w:p>
          <w:p>
            <w:pPr>
              <w:pStyle w:val="42"/>
              <w:ind w:left="92" w:right="85"/>
              <w:rPr>
                <w:sz w:val="18"/>
              </w:rPr>
            </w:pPr>
            <w:r>
              <w:rPr>
                <w:sz w:val="18"/>
              </w:rPr>
              <w:t>≥</w:t>
            </w:r>
          </w:p>
        </w:tc>
        <w:tc>
          <w:tcPr>
            <w:tcW w:w="1256" w:type="dxa"/>
            <w:shd w:val="clear" w:color="auto" w:fill="auto"/>
          </w:tcPr>
          <w:p>
            <w:pPr>
              <w:pStyle w:val="42"/>
              <w:spacing w:before="6"/>
              <w:jc w:val="left"/>
              <w:rPr>
                <w:sz w:val="15"/>
              </w:rPr>
            </w:pPr>
          </w:p>
          <w:p>
            <w:pPr>
              <w:pStyle w:val="42"/>
              <w:ind w:left="157" w:right="148"/>
              <w:rPr>
                <w:sz w:val="18"/>
              </w:rPr>
            </w:pPr>
            <w:r>
              <w:rPr>
                <w:rFonts w:hint="eastAsia" w:ascii="宋体" w:hAnsi="宋体" w:eastAsia="宋体" w:cs="宋体"/>
                <w:i w:val="0"/>
                <w:iCs w:val="0"/>
                <w:color w:val="000000"/>
                <w:kern w:val="0"/>
                <w:sz w:val="18"/>
                <w:szCs w:val="18"/>
                <w:u w:val="none"/>
                <w:lang w:val="en-US" w:eastAsia="zh-CN" w:bidi="ar"/>
              </w:rPr>
              <w:t>完成税收目标52万元</w:t>
            </w:r>
          </w:p>
        </w:tc>
        <w:tc>
          <w:tcPr>
            <w:tcW w:w="625" w:type="dxa"/>
            <w:shd w:val="clear" w:color="auto" w:fill="auto"/>
          </w:tcPr>
          <w:p>
            <w:pPr>
              <w:pStyle w:val="42"/>
              <w:jc w:val="left"/>
              <w:rPr>
                <w:rFonts w:ascii="Times New Roman"/>
                <w:sz w:val="20"/>
              </w:rPr>
            </w:pPr>
          </w:p>
        </w:tc>
        <w:tc>
          <w:tcPr>
            <w:tcW w:w="810" w:type="dxa"/>
            <w:shd w:val="clear" w:color="auto" w:fill="auto"/>
          </w:tcPr>
          <w:p>
            <w:pPr>
              <w:pStyle w:val="42"/>
              <w:spacing w:before="165"/>
              <w:ind w:left="10"/>
              <w:rPr>
                <w:rFonts w:hint="eastAsia" w:ascii="微软雅黑" w:eastAsia="微软雅黑"/>
                <w:sz w:val="16"/>
              </w:rPr>
            </w:pPr>
            <w:r>
              <w:rPr>
                <w:rFonts w:hint="eastAsia" w:ascii="宋体" w:hAnsi="宋体" w:eastAsia="宋体" w:cs="宋体"/>
                <w:i w:val="0"/>
                <w:iCs w:val="0"/>
                <w:color w:val="000000"/>
                <w:kern w:val="0"/>
                <w:sz w:val="18"/>
                <w:szCs w:val="18"/>
                <w:u w:val="none"/>
                <w:lang w:val="en-US" w:eastAsia="zh-CN" w:bidi="ar"/>
              </w:rPr>
              <w:t>完成税收53万元</w:t>
            </w:r>
          </w:p>
        </w:tc>
        <w:tc>
          <w:tcPr>
            <w:tcW w:w="557" w:type="dxa"/>
            <w:shd w:val="clear" w:color="auto" w:fill="auto"/>
          </w:tcPr>
          <w:p>
            <w:pPr>
              <w:pStyle w:val="42"/>
              <w:spacing w:before="6"/>
              <w:jc w:val="left"/>
              <w:rPr>
                <w:sz w:val="15"/>
              </w:rPr>
            </w:pPr>
          </w:p>
          <w:p>
            <w:pPr>
              <w:pStyle w:val="42"/>
              <w:ind w:left="121" w:right="113"/>
              <w:rPr>
                <w:sz w:val="18"/>
              </w:rPr>
            </w:pPr>
            <w:r>
              <w:rPr>
                <w:sz w:val="18"/>
              </w:rPr>
              <w:t>10</w:t>
            </w:r>
          </w:p>
        </w:tc>
        <w:tc>
          <w:tcPr>
            <w:tcW w:w="576" w:type="dxa"/>
            <w:shd w:val="clear" w:color="auto" w:fill="auto"/>
          </w:tcPr>
          <w:p>
            <w:pPr>
              <w:pStyle w:val="42"/>
              <w:spacing w:before="6"/>
              <w:jc w:val="left"/>
              <w:rPr>
                <w:sz w:val="15"/>
              </w:rPr>
            </w:pPr>
          </w:p>
          <w:p>
            <w:pPr>
              <w:pStyle w:val="42"/>
              <w:ind w:left="153"/>
              <w:jc w:val="left"/>
              <w:rPr>
                <w:rFonts w:hint="default" w:eastAsia="宋体"/>
                <w:sz w:val="18"/>
                <w:lang w:val="en-US" w:eastAsia="zh-CN"/>
              </w:rPr>
            </w:pPr>
            <w:r>
              <w:rPr>
                <w:rFonts w:hint="eastAsia"/>
                <w:sz w:val="18"/>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4" w:hRule="atLeast"/>
        </w:trPr>
        <w:tc>
          <w:tcPr>
            <w:tcW w:w="576" w:type="dxa"/>
            <w:vMerge w:val="continue"/>
            <w:tcBorders>
              <w:top w:val="nil"/>
            </w:tcBorders>
            <w:shd w:val="clear" w:color="auto" w:fill="auto"/>
          </w:tcPr>
          <w:p>
            <w:pPr>
              <w:rPr>
                <w:sz w:val="2"/>
                <w:szCs w:val="2"/>
              </w:rPr>
            </w:pPr>
          </w:p>
        </w:tc>
        <w:tc>
          <w:tcPr>
            <w:tcW w:w="1368" w:type="dxa"/>
            <w:vMerge w:val="continue"/>
            <w:tcBorders>
              <w:top w:val="nil"/>
            </w:tcBorders>
            <w:shd w:val="clear" w:color="auto" w:fill="auto"/>
          </w:tcPr>
          <w:p>
            <w:pPr>
              <w:rPr>
                <w:sz w:val="2"/>
                <w:szCs w:val="2"/>
              </w:rPr>
            </w:pPr>
          </w:p>
        </w:tc>
        <w:tc>
          <w:tcPr>
            <w:tcW w:w="1080" w:type="dxa"/>
            <w:vMerge w:val="continue"/>
            <w:tcBorders>
              <w:top w:val="nil"/>
            </w:tcBorders>
            <w:shd w:val="clear" w:color="auto" w:fill="auto"/>
          </w:tcPr>
          <w:p>
            <w:pPr>
              <w:rPr>
                <w:sz w:val="2"/>
                <w:szCs w:val="2"/>
              </w:rPr>
            </w:pPr>
          </w:p>
        </w:tc>
        <w:tc>
          <w:tcPr>
            <w:tcW w:w="1731" w:type="dxa"/>
            <w:shd w:val="clear" w:color="auto" w:fill="auto"/>
          </w:tcPr>
          <w:p>
            <w:pPr>
              <w:pStyle w:val="42"/>
              <w:spacing w:before="81"/>
              <w:ind w:left="9"/>
              <w:rPr>
                <w:sz w:val="18"/>
              </w:rPr>
            </w:pPr>
            <w:r>
              <w:rPr>
                <w:rFonts w:hint="eastAsia" w:ascii="宋体" w:hAnsi="宋体" w:eastAsia="宋体" w:cs="宋体"/>
                <w:b/>
                <w:bCs/>
                <w:i w:val="0"/>
                <w:iCs w:val="0"/>
                <w:color w:val="000000"/>
                <w:kern w:val="0"/>
                <w:sz w:val="18"/>
                <w:szCs w:val="18"/>
                <w:u w:val="none"/>
                <w:lang w:val="en-US" w:eastAsia="zh-CN" w:bidi="ar"/>
              </w:rPr>
              <w:t>烟叶种植目标任务完成及时性</w:t>
            </w:r>
          </w:p>
        </w:tc>
        <w:tc>
          <w:tcPr>
            <w:tcW w:w="587" w:type="dxa"/>
            <w:shd w:val="clear" w:color="auto" w:fill="auto"/>
          </w:tcPr>
          <w:p>
            <w:pPr>
              <w:pStyle w:val="42"/>
              <w:spacing w:before="5"/>
              <w:jc w:val="left"/>
              <w:rPr>
                <w:sz w:val="15"/>
              </w:rPr>
            </w:pPr>
          </w:p>
          <w:p>
            <w:pPr>
              <w:pStyle w:val="42"/>
              <w:spacing w:before="1"/>
              <w:ind w:left="92" w:right="85"/>
              <w:rPr>
                <w:sz w:val="18"/>
              </w:rPr>
            </w:pPr>
            <w:r>
              <w:rPr>
                <w:sz w:val="18"/>
              </w:rPr>
              <w:t>≥</w:t>
            </w:r>
          </w:p>
        </w:tc>
        <w:tc>
          <w:tcPr>
            <w:tcW w:w="1256" w:type="dxa"/>
            <w:shd w:val="clear" w:color="auto" w:fill="auto"/>
          </w:tcPr>
          <w:p>
            <w:pPr>
              <w:pStyle w:val="42"/>
              <w:spacing w:before="5"/>
              <w:jc w:val="left"/>
              <w:rPr>
                <w:sz w:val="15"/>
              </w:rPr>
            </w:pPr>
          </w:p>
          <w:p>
            <w:pPr>
              <w:pStyle w:val="42"/>
              <w:spacing w:before="1"/>
              <w:ind w:left="157" w:right="148"/>
              <w:rPr>
                <w:sz w:val="18"/>
              </w:rPr>
            </w:pPr>
            <w:r>
              <w:rPr>
                <w:rFonts w:hint="eastAsia" w:ascii="宋体" w:hAnsi="宋体" w:eastAsia="宋体" w:cs="宋体"/>
                <w:i w:val="0"/>
                <w:iCs w:val="0"/>
                <w:color w:val="000000"/>
                <w:kern w:val="0"/>
                <w:sz w:val="18"/>
                <w:szCs w:val="18"/>
                <w:u w:val="none"/>
                <w:lang w:val="en-US" w:eastAsia="zh-CN" w:bidi="ar"/>
              </w:rPr>
              <w:t>6月之前完成种植任务</w:t>
            </w:r>
          </w:p>
        </w:tc>
        <w:tc>
          <w:tcPr>
            <w:tcW w:w="625" w:type="dxa"/>
            <w:shd w:val="clear" w:color="auto" w:fill="auto"/>
          </w:tcPr>
          <w:p>
            <w:pPr>
              <w:pStyle w:val="42"/>
              <w:jc w:val="left"/>
              <w:rPr>
                <w:rFonts w:ascii="Times New Roman"/>
                <w:sz w:val="20"/>
              </w:rPr>
            </w:pPr>
          </w:p>
        </w:tc>
        <w:tc>
          <w:tcPr>
            <w:tcW w:w="810" w:type="dxa"/>
            <w:shd w:val="clear" w:color="auto" w:fill="auto"/>
          </w:tcPr>
          <w:p>
            <w:pPr>
              <w:pStyle w:val="42"/>
              <w:spacing w:before="164"/>
              <w:ind w:left="10"/>
              <w:rPr>
                <w:rFonts w:hint="eastAsia" w:ascii="微软雅黑" w:eastAsia="微软雅黑"/>
                <w:sz w:val="16"/>
              </w:rPr>
            </w:pPr>
            <w:r>
              <w:rPr>
                <w:rFonts w:hint="eastAsia" w:ascii="宋体" w:hAnsi="宋体" w:eastAsia="宋体" w:cs="宋体"/>
                <w:i w:val="0"/>
                <w:iCs w:val="0"/>
                <w:color w:val="000000"/>
                <w:kern w:val="0"/>
                <w:sz w:val="18"/>
                <w:szCs w:val="18"/>
                <w:u w:val="none"/>
                <w:lang w:val="en-US" w:eastAsia="zh-CN" w:bidi="ar"/>
              </w:rPr>
              <w:t>6月前完成种植1000亩</w:t>
            </w:r>
          </w:p>
        </w:tc>
        <w:tc>
          <w:tcPr>
            <w:tcW w:w="557" w:type="dxa"/>
            <w:shd w:val="clear" w:color="auto" w:fill="auto"/>
          </w:tcPr>
          <w:p>
            <w:pPr>
              <w:pStyle w:val="42"/>
              <w:spacing w:before="5"/>
              <w:jc w:val="left"/>
              <w:rPr>
                <w:sz w:val="15"/>
              </w:rPr>
            </w:pPr>
          </w:p>
          <w:p>
            <w:pPr>
              <w:pStyle w:val="42"/>
              <w:spacing w:before="1"/>
              <w:ind w:left="121" w:right="113"/>
              <w:rPr>
                <w:sz w:val="18"/>
              </w:rPr>
            </w:pPr>
            <w:r>
              <w:rPr>
                <w:sz w:val="18"/>
              </w:rPr>
              <w:t>10</w:t>
            </w:r>
          </w:p>
        </w:tc>
        <w:tc>
          <w:tcPr>
            <w:tcW w:w="576" w:type="dxa"/>
            <w:shd w:val="clear" w:color="auto" w:fill="auto"/>
          </w:tcPr>
          <w:p>
            <w:pPr>
              <w:pStyle w:val="42"/>
              <w:spacing w:before="5"/>
              <w:jc w:val="left"/>
              <w:rPr>
                <w:sz w:val="15"/>
              </w:rPr>
            </w:pPr>
          </w:p>
          <w:p>
            <w:pPr>
              <w:pStyle w:val="42"/>
              <w:spacing w:before="1"/>
              <w:ind w:left="198"/>
              <w:jc w:val="left"/>
              <w:rPr>
                <w:sz w:val="18"/>
              </w:rPr>
            </w:pPr>
            <w:r>
              <w:rPr>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8" w:hRule="atLeast"/>
        </w:trPr>
        <w:tc>
          <w:tcPr>
            <w:tcW w:w="576" w:type="dxa"/>
            <w:vMerge w:val="continue"/>
            <w:tcBorders>
              <w:top w:val="nil"/>
            </w:tcBorders>
            <w:shd w:val="clear" w:color="auto" w:fill="auto"/>
          </w:tcPr>
          <w:p>
            <w:pPr>
              <w:rPr>
                <w:sz w:val="2"/>
                <w:szCs w:val="2"/>
              </w:rPr>
            </w:pPr>
          </w:p>
        </w:tc>
        <w:tc>
          <w:tcPr>
            <w:tcW w:w="1368" w:type="dxa"/>
            <w:vMerge w:val="continue"/>
            <w:tcBorders>
              <w:top w:val="nil"/>
            </w:tcBorders>
            <w:shd w:val="clear" w:color="auto" w:fill="auto"/>
          </w:tcPr>
          <w:p>
            <w:pPr>
              <w:rPr>
                <w:sz w:val="2"/>
                <w:szCs w:val="2"/>
              </w:rPr>
            </w:pPr>
          </w:p>
        </w:tc>
        <w:tc>
          <w:tcPr>
            <w:tcW w:w="1080" w:type="dxa"/>
            <w:shd w:val="clear" w:color="auto" w:fill="auto"/>
          </w:tcPr>
          <w:p>
            <w:pPr>
              <w:pStyle w:val="42"/>
              <w:spacing w:before="56"/>
              <w:ind w:left="159" w:right="150"/>
              <w:rPr>
                <w:sz w:val="18"/>
              </w:rPr>
            </w:pPr>
            <w:r>
              <w:rPr>
                <w:sz w:val="18"/>
              </w:rPr>
              <w:t>成本指标</w:t>
            </w:r>
          </w:p>
        </w:tc>
        <w:tc>
          <w:tcPr>
            <w:tcW w:w="1731" w:type="dxa"/>
            <w:shd w:val="clear" w:color="auto" w:fill="auto"/>
          </w:tcPr>
          <w:p>
            <w:pPr>
              <w:pStyle w:val="42"/>
              <w:spacing w:before="56"/>
              <w:ind w:left="123" w:right="114"/>
              <w:rPr>
                <w:sz w:val="18"/>
              </w:rPr>
            </w:pPr>
          </w:p>
        </w:tc>
        <w:tc>
          <w:tcPr>
            <w:tcW w:w="587" w:type="dxa"/>
            <w:shd w:val="clear" w:color="auto" w:fill="auto"/>
          </w:tcPr>
          <w:p>
            <w:pPr>
              <w:pStyle w:val="42"/>
              <w:spacing w:before="56"/>
              <w:ind w:left="9"/>
              <w:rPr>
                <w:sz w:val="18"/>
              </w:rPr>
            </w:pPr>
            <w:r>
              <w:rPr>
                <w:sz w:val="18"/>
              </w:rPr>
              <w:t>≤</w:t>
            </w:r>
          </w:p>
        </w:tc>
        <w:tc>
          <w:tcPr>
            <w:tcW w:w="1256" w:type="dxa"/>
            <w:shd w:val="clear" w:color="auto" w:fill="auto"/>
          </w:tcPr>
          <w:p>
            <w:pPr>
              <w:pStyle w:val="42"/>
              <w:spacing w:before="56"/>
              <w:ind w:left="156" w:right="148"/>
              <w:rPr>
                <w:rFonts w:hint="default" w:eastAsia="宋体"/>
                <w:sz w:val="18"/>
                <w:lang w:val="en-US" w:eastAsia="zh-CN"/>
              </w:rPr>
            </w:pPr>
            <w:r>
              <w:rPr>
                <w:rFonts w:hint="eastAsia"/>
                <w:sz w:val="18"/>
                <w:lang w:val="en-US" w:eastAsia="zh-CN"/>
              </w:rPr>
              <w:t>67.98</w:t>
            </w:r>
          </w:p>
        </w:tc>
        <w:tc>
          <w:tcPr>
            <w:tcW w:w="625" w:type="dxa"/>
            <w:shd w:val="clear" w:color="auto" w:fill="auto"/>
          </w:tcPr>
          <w:p>
            <w:pPr>
              <w:pStyle w:val="42"/>
              <w:spacing w:before="56"/>
              <w:ind w:left="111" w:right="103"/>
              <w:rPr>
                <w:sz w:val="18"/>
              </w:rPr>
            </w:pPr>
            <w:r>
              <w:rPr>
                <w:sz w:val="18"/>
              </w:rPr>
              <w:t>万元</w:t>
            </w:r>
          </w:p>
        </w:tc>
        <w:tc>
          <w:tcPr>
            <w:tcW w:w="810" w:type="dxa"/>
            <w:shd w:val="clear" w:color="auto" w:fill="auto"/>
          </w:tcPr>
          <w:p>
            <w:pPr>
              <w:pStyle w:val="42"/>
              <w:spacing w:before="22"/>
              <w:ind w:left="110" w:right="104"/>
              <w:rPr>
                <w:rFonts w:hint="default" w:ascii="微软雅黑" w:eastAsia="宋体"/>
                <w:sz w:val="16"/>
                <w:lang w:val="en-US" w:eastAsia="zh-CN"/>
              </w:rPr>
            </w:pPr>
            <w:r>
              <w:rPr>
                <w:rFonts w:hint="eastAsia" w:ascii="微软雅黑"/>
                <w:sz w:val="16"/>
                <w:lang w:val="en-US" w:eastAsia="zh-CN"/>
              </w:rPr>
              <w:t>67.98</w:t>
            </w:r>
          </w:p>
        </w:tc>
        <w:tc>
          <w:tcPr>
            <w:tcW w:w="557" w:type="dxa"/>
            <w:shd w:val="clear" w:color="auto" w:fill="auto"/>
          </w:tcPr>
          <w:p>
            <w:pPr>
              <w:pStyle w:val="42"/>
              <w:spacing w:before="56"/>
              <w:ind w:left="121" w:right="113"/>
              <w:rPr>
                <w:sz w:val="18"/>
              </w:rPr>
            </w:pPr>
            <w:r>
              <w:rPr>
                <w:sz w:val="18"/>
              </w:rPr>
              <w:t>10</w:t>
            </w:r>
          </w:p>
        </w:tc>
        <w:tc>
          <w:tcPr>
            <w:tcW w:w="576" w:type="dxa"/>
            <w:shd w:val="clear" w:color="auto" w:fill="auto"/>
          </w:tcPr>
          <w:p>
            <w:pPr>
              <w:pStyle w:val="42"/>
              <w:spacing w:before="56"/>
              <w:ind w:left="198"/>
              <w:jc w:val="left"/>
              <w:rPr>
                <w:sz w:val="18"/>
              </w:rPr>
            </w:pPr>
            <w:r>
              <w:rPr>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36" w:hRule="atLeast"/>
        </w:trPr>
        <w:tc>
          <w:tcPr>
            <w:tcW w:w="576" w:type="dxa"/>
            <w:vMerge w:val="continue"/>
            <w:tcBorders>
              <w:top w:val="nil"/>
            </w:tcBorders>
            <w:shd w:val="clear" w:color="auto" w:fill="auto"/>
          </w:tcPr>
          <w:p>
            <w:pPr>
              <w:rPr>
                <w:sz w:val="2"/>
                <w:szCs w:val="2"/>
              </w:rPr>
            </w:pPr>
          </w:p>
        </w:tc>
        <w:tc>
          <w:tcPr>
            <w:tcW w:w="1368" w:type="dxa"/>
            <w:shd w:val="clear" w:color="auto" w:fill="auto"/>
          </w:tcPr>
          <w:p>
            <w:pPr>
              <w:pStyle w:val="42"/>
              <w:jc w:val="left"/>
              <w:rPr>
                <w:sz w:val="18"/>
              </w:rPr>
            </w:pPr>
          </w:p>
          <w:p>
            <w:pPr>
              <w:pStyle w:val="42"/>
              <w:spacing w:before="124"/>
              <w:ind w:left="121" w:right="114"/>
              <w:rPr>
                <w:sz w:val="18"/>
              </w:rPr>
            </w:pPr>
            <w:r>
              <w:rPr>
                <w:sz w:val="18"/>
              </w:rPr>
              <w:t>满意度指标</w:t>
            </w:r>
          </w:p>
        </w:tc>
        <w:tc>
          <w:tcPr>
            <w:tcW w:w="1080" w:type="dxa"/>
            <w:shd w:val="clear" w:color="auto" w:fill="auto"/>
          </w:tcPr>
          <w:p>
            <w:pPr>
              <w:pStyle w:val="42"/>
              <w:spacing w:before="43" w:line="324" w:lineRule="auto"/>
              <w:ind w:left="179" w:right="168"/>
              <w:rPr>
                <w:sz w:val="18"/>
              </w:rPr>
            </w:pPr>
            <w:r>
              <w:rPr>
                <w:spacing w:val="-1"/>
                <w:sz w:val="18"/>
              </w:rPr>
              <w:t>服务对象满意度指</w:t>
            </w:r>
          </w:p>
          <w:p>
            <w:pPr>
              <w:pStyle w:val="42"/>
              <w:spacing w:before="1"/>
              <w:ind w:left="7"/>
              <w:rPr>
                <w:sz w:val="18"/>
              </w:rPr>
            </w:pPr>
            <w:r>
              <w:rPr>
                <w:sz w:val="18"/>
              </w:rPr>
              <w:t>标</w:t>
            </w:r>
          </w:p>
        </w:tc>
        <w:tc>
          <w:tcPr>
            <w:tcW w:w="1731" w:type="dxa"/>
            <w:shd w:val="clear" w:color="auto" w:fill="auto"/>
          </w:tcPr>
          <w:p>
            <w:pPr>
              <w:pStyle w:val="42"/>
              <w:jc w:val="left"/>
              <w:rPr>
                <w:sz w:val="18"/>
              </w:rPr>
            </w:pPr>
          </w:p>
          <w:p>
            <w:pPr>
              <w:pStyle w:val="42"/>
              <w:spacing w:before="124"/>
              <w:ind w:left="123" w:right="114"/>
              <w:rPr>
                <w:sz w:val="18"/>
              </w:rPr>
            </w:pPr>
            <w:r>
              <w:rPr>
                <w:sz w:val="18"/>
              </w:rPr>
              <w:t>服务对象满意度</w:t>
            </w:r>
          </w:p>
        </w:tc>
        <w:tc>
          <w:tcPr>
            <w:tcW w:w="587" w:type="dxa"/>
            <w:shd w:val="clear" w:color="auto" w:fill="auto"/>
          </w:tcPr>
          <w:p>
            <w:pPr>
              <w:pStyle w:val="42"/>
              <w:jc w:val="left"/>
              <w:rPr>
                <w:sz w:val="18"/>
              </w:rPr>
            </w:pPr>
          </w:p>
          <w:p>
            <w:pPr>
              <w:pStyle w:val="42"/>
              <w:spacing w:before="124"/>
              <w:ind w:left="9"/>
              <w:rPr>
                <w:sz w:val="18"/>
              </w:rPr>
            </w:pPr>
            <w:r>
              <w:rPr>
                <w:sz w:val="18"/>
              </w:rPr>
              <w:t>≥</w:t>
            </w:r>
          </w:p>
        </w:tc>
        <w:tc>
          <w:tcPr>
            <w:tcW w:w="1256" w:type="dxa"/>
            <w:shd w:val="clear" w:color="auto" w:fill="auto"/>
          </w:tcPr>
          <w:p>
            <w:pPr>
              <w:pStyle w:val="42"/>
              <w:jc w:val="left"/>
              <w:rPr>
                <w:sz w:val="18"/>
              </w:rPr>
            </w:pPr>
          </w:p>
          <w:p>
            <w:pPr>
              <w:pStyle w:val="42"/>
              <w:spacing w:before="124"/>
              <w:ind w:left="157" w:right="146"/>
              <w:rPr>
                <w:rFonts w:hint="default" w:eastAsia="宋体"/>
                <w:sz w:val="18"/>
                <w:lang w:val="en-US" w:eastAsia="zh-CN"/>
              </w:rPr>
            </w:pPr>
            <w:r>
              <w:rPr>
                <w:rFonts w:hint="eastAsia"/>
                <w:sz w:val="18"/>
                <w:lang w:val="en-US" w:eastAsia="zh-CN"/>
              </w:rPr>
              <w:t>100</w:t>
            </w:r>
          </w:p>
        </w:tc>
        <w:tc>
          <w:tcPr>
            <w:tcW w:w="625" w:type="dxa"/>
            <w:shd w:val="clear" w:color="auto" w:fill="auto"/>
          </w:tcPr>
          <w:p>
            <w:pPr>
              <w:pStyle w:val="42"/>
              <w:jc w:val="left"/>
              <w:rPr>
                <w:sz w:val="18"/>
              </w:rPr>
            </w:pPr>
          </w:p>
          <w:p>
            <w:pPr>
              <w:pStyle w:val="42"/>
              <w:spacing w:before="124"/>
              <w:ind w:left="6"/>
              <w:rPr>
                <w:sz w:val="18"/>
              </w:rPr>
            </w:pPr>
            <w:r>
              <w:rPr>
                <w:sz w:val="18"/>
              </w:rPr>
              <w:t>%</w:t>
            </w:r>
          </w:p>
        </w:tc>
        <w:tc>
          <w:tcPr>
            <w:tcW w:w="810" w:type="dxa"/>
            <w:shd w:val="clear" w:color="auto" w:fill="auto"/>
          </w:tcPr>
          <w:p>
            <w:pPr>
              <w:pStyle w:val="42"/>
              <w:spacing w:before="1"/>
              <w:jc w:val="left"/>
              <w:rPr>
                <w:sz w:val="25"/>
              </w:rPr>
            </w:pPr>
          </w:p>
          <w:p>
            <w:pPr>
              <w:pStyle w:val="42"/>
              <w:ind w:left="113" w:right="104"/>
              <w:rPr>
                <w:rFonts w:hint="default" w:ascii="微软雅黑" w:eastAsia="宋体"/>
                <w:sz w:val="16"/>
                <w:lang w:val="en-US" w:eastAsia="zh-CN"/>
              </w:rPr>
            </w:pPr>
            <w:r>
              <w:rPr>
                <w:rFonts w:hint="eastAsia" w:ascii="微软雅黑"/>
                <w:sz w:val="16"/>
                <w:lang w:val="en-US" w:eastAsia="zh-CN"/>
              </w:rPr>
              <w:t>100</w:t>
            </w:r>
          </w:p>
        </w:tc>
        <w:tc>
          <w:tcPr>
            <w:tcW w:w="557" w:type="dxa"/>
            <w:shd w:val="clear" w:color="auto" w:fill="auto"/>
          </w:tcPr>
          <w:p>
            <w:pPr>
              <w:pStyle w:val="42"/>
              <w:jc w:val="left"/>
              <w:rPr>
                <w:sz w:val="18"/>
              </w:rPr>
            </w:pPr>
          </w:p>
          <w:p>
            <w:pPr>
              <w:pStyle w:val="42"/>
              <w:spacing w:before="124"/>
              <w:ind w:left="121" w:right="113"/>
              <w:rPr>
                <w:sz w:val="18"/>
              </w:rPr>
            </w:pPr>
            <w:r>
              <w:rPr>
                <w:sz w:val="18"/>
              </w:rPr>
              <w:t>10</w:t>
            </w:r>
          </w:p>
        </w:tc>
        <w:tc>
          <w:tcPr>
            <w:tcW w:w="576" w:type="dxa"/>
            <w:shd w:val="clear" w:color="auto" w:fill="auto"/>
          </w:tcPr>
          <w:p>
            <w:pPr>
              <w:pStyle w:val="42"/>
              <w:jc w:val="left"/>
              <w:rPr>
                <w:sz w:val="18"/>
              </w:rPr>
            </w:pPr>
          </w:p>
          <w:p>
            <w:pPr>
              <w:pStyle w:val="42"/>
              <w:spacing w:before="124"/>
              <w:ind w:left="198"/>
              <w:jc w:val="left"/>
              <w:rPr>
                <w:sz w:val="18"/>
              </w:rPr>
            </w:pPr>
            <w:r>
              <w:rPr>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2" w:hRule="atLeast"/>
        </w:trPr>
        <w:tc>
          <w:tcPr>
            <w:tcW w:w="8033" w:type="dxa"/>
            <w:gridSpan w:val="8"/>
            <w:shd w:val="clear" w:color="auto" w:fill="auto"/>
          </w:tcPr>
          <w:p>
            <w:pPr>
              <w:pStyle w:val="42"/>
              <w:spacing w:before="42"/>
              <w:ind w:left="3815" w:right="3808"/>
              <w:rPr>
                <w:sz w:val="18"/>
              </w:rPr>
            </w:pPr>
            <w:r>
              <w:rPr>
                <w:sz w:val="18"/>
              </w:rPr>
              <w:t>合计</w:t>
            </w:r>
          </w:p>
        </w:tc>
        <w:tc>
          <w:tcPr>
            <w:tcW w:w="557" w:type="dxa"/>
            <w:shd w:val="clear" w:color="auto" w:fill="auto"/>
          </w:tcPr>
          <w:p>
            <w:pPr>
              <w:pStyle w:val="42"/>
              <w:spacing w:before="42"/>
              <w:ind w:left="123" w:right="113"/>
              <w:rPr>
                <w:sz w:val="18"/>
              </w:rPr>
            </w:pPr>
            <w:r>
              <w:rPr>
                <w:sz w:val="18"/>
              </w:rPr>
              <w:t>100</w:t>
            </w:r>
          </w:p>
        </w:tc>
        <w:tc>
          <w:tcPr>
            <w:tcW w:w="576" w:type="dxa"/>
            <w:shd w:val="clear" w:color="auto" w:fill="auto"/>
          </w:tcPr>
          <w:p>
            <w:pPr>
              <w:pStyle w:val="42"/>
              <w:spacing w:before="42"/>
              <w:ind w:left="107"/>
              <w:jc w:val="left"/>
              <w:rPr>
                <w:rFonts w:hint="default" w:eastAsia="宋体"/>
                <w:sz w:val="18"/>
                <w:lang w:val="en-US" w:eastAsia="zh-CN"/>
              </w:rPr>
            </w:pPr>
            <w:r>
              <w:rPr>
                <w:rFonts w:hint="eastAsia"/>
                <w:sz w:val="18"/>
                <w:lang w:val="en-US" w:eastAsia="zh-CN"/>
              </w:rPr>
              <w:t>100</w:t>
            </w:r>
          </w:p>
        </w:tc>
      </w:tr>
    </w:tbl>
    <w:p>
      <w:pPr>
        <w:pageBreakBefore w:val="0"/>
        <w:kinsoku/>
        <w:wordWrap/>
        <w:overflowPunct/>
        <w:topLinePunct w:val="0"/>
        <w:bidi w:val="0"/>
        <w:spacing w:line="576" w:lineRule="exact"/>
        <w:jc w:val="center"/>
        <w:textAlignment w:val="auto"/>
        <w:outlineLvl w:val="0"/>
        <w:rPr>
          <w:rStyle w:val="30"/>
          <w:rFonts w:hint="default" w:ascii="黑体" w:hAnsi="黑体" w:eastAsia="黑体" w:cstheme="minorBidi"/>
          <w:b w:val="0"/>
          <w:color w:val="auto"/>
          <w:highlight w:val="none"/>
          <w:lang w:val="en-US" w:eastAsia="zh-CN"/>
        </w:rPr>
      </w:pPr>
      <w:r>
        <w:rPr>
          <w:rStyle w:val="30"/>
          <w:rFonts w:hint="eastAsia" w:ascii="黑体" w:hAnsi="黑体" w:eastAsia="黑体" w:cstheme="minorBidi"/>
          <w:b w:val="0"/>
          <w:color w:val="auto"/>
          <w:highlight w:val="none"/>
          <w:lang w:val="en-US" w:eastAsia="zh-CN"/>
        </w:rPr>
        <w:t>2022年关于下达2022年中央纪检监察转移支付资金</w:t>
      </w:r>
      <w:r>
        <w:rPr>
          <w:rStyle w:val="30"/>
          <w:rFonts w:hint="default" w:ascii="黑体" w:hAnsi="黑体" w:eastAsia="黑体" w:cstheme="minorBidi"/>
          <w:b w:val="0"/>
          <w:color w:val="auto"/>
          <w:highlight w:val="none"/>
          <w:lang w:val="en-US" w:eastAsia="zh-CN"/>
        </w:rPr>
        <w:t>项目绩效自评报告</w:t>
      </w:r>
    </w:p>
    <w:p>
      <w:pPr>
        <w:pageBreakBefore w:val="0"/>
        <w:kinsoku/>
        <w:wordWrap/>
        <w:overflowPunct/>
        <w:topLinePunct w:val="0"/>
        <w:bidi w:val="0"/>
        <w:spacing w:line="576" w:lineRule="exact"/>
        <w:jc w:val="center"/>
        <w:textAlignment w:val="auto"/>
        <w:outlineLvl w:val="0"/>
        <w:rPr>
          <w:rStyle w:val="30"/>
          <w:rFonts w:hint="default" w:ascii="黑体" w:hAnsi="黑体" w:eastAsia="黑体" w:cstheme="minorBidi"/>
          <w:b w:val="0"/>
          <w:color w:val="auto"/>
          <w:highlight w:val="none"/>
          <w:lang w:val="en-US" w:eastAsia="zh-CN"/>
        </w:rPr>
      </w:pPr>
      <w:r>
        <w:rPr>
          <w:rStyle w:val="30"/>
          <w:rFonts w:hint="default" w:ascii="黑体" w:hAnsi="黑体" w:eastAsia="黑体" w:cstheme="minorBidi"/>
          <w:b w:val="0"/>
          <w:color w:val="auto"/>
          <w:highlight w:val="none"/>
          <w:lang w:val="en-US" w:eastAsia="zh-CN"/>
        </w:rPr>
        <w:t xml:space="preserve">    </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一、</w:t>
      </w:r>
      <w:r>
        <w:rPr>
          <w:rFonts w:hint="default" w:ascii="黑体" w:hAnsi="黑体" w:eastAsia="黑体" w:cs="黑体"/>
          <w:color w:val="auto"/>
          <w:kern w:val="0"/>
          <w:sz w:val="32"/>
          <w:szCs w:val="32"/>
          <w:highlight w:val="none"/>
          <w:lang w:val="zh-CN" w:eastAsia="zh-CN" w:bidi="ar-SA"/>
        </w:rPr>
        <w:t>项目概况</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一</w:t>
      </w:r>
      <w:r>
        <w:rPr>
          <w:rFonts w:hint="default" w:ascii="仿宋" w:hAnsi="仿宋" w:eastAsia="仿宋" w:cs="Times New Roman"/>
          <w:b/>
          <w:color w:val="auto"/>
          <w:sz w:val="32"/>
          <w:szCs w:val="32"/>
          <w:highlight w:val="none"/>
          <w:lang w:val="zh-CN" w:eastAsia="zh-CN"/>
        </w:rPr>
        <w:t>）项目</w:t>
      </w:r>
      <w:r>
        <w:rPr>
          <w:rFonts w:hint="eastAsia" w:ascii="仿宋" w:hAnsi="仿宋" w:eastAsia="仿宋" w:cs="Times New Roman"/>
          <w:b/>
          <w:color w:val="auto"/>
          <w:sz w:val="32"/>
          <w:szCs w:val="32"/>
          <w:highlight w:val="none"/>
          <w:lang w:val="en-US" w:eastAsia="zh-CN"/>
        </w:rPr>
        <w:t>基本情况</w:t>
      </w:r>
      <w:r>
        <w:rPr>
          <w:rFonts w:hint="default" w:ascii="仿宋" w:hAnsi="仿宋" w:eastAsia="仿宋" w:cs="Times New Roman"/>
          <w:b/>
          <w:color w:val="auto"/>
          <w:sz w:val="32"/>
          <w:szCs w:val="32"/>
          <w:highlight w:val="none"/>
          <w:lang w:val="zh-CN" w:eastAsia="zh-CN"/>
        </w:rPr>
        <w:t>。</w:t>
      </w:r>
      <w:r>
        <w:rPr>
          <w:rFonts w:hint="default" w:ascii="仿宋_GB2312" w:hAnsi="仿宋_GB2312" w:eastAsia="仿宋_GB2312" w:cs="仿宋_GB2312"/>
          <w:sz w:val="32"/>
          <w:szCs w:val="32"/>
          <w:lang w:val="zh-CN" w:eastAsia="zh-CN"/>
        </w:rPr>
        <w:t>坚持以习近平新时代中国特色社会主义思想为指引，坚决拥护</w:t>
      </w:r>
      <w:r>
        <w:rPr>
          <w:rFonts w:hint="eastAsia" w:ascii="仿宋_GB2312" w:hAnsi="仿宋_GB2312" w:eastAsia="仿宋_GB2312" w:cs="仿宋_GB2312"/>
          <w:sz w:val="32"/>
          <w:szCs w:val="32"/>
          <w:lang w:val="zh-CN" w:eastAsia="zh-CN"/>
        </w:rPr>
        <w:t>“</w:t>
      </w:r>
      <w:r>
        <w:rPr>
          <w:rFonts w:hint="default" w:ascii="仿宋_GB2312" w:hAnsi="仿宋_GB2312" w:eastAsia="仿宋_GB2312" w:cs="仿宋_GB2312"/>
          <w:sz w:val="32"/>
          <w:szCs w:val="32"/>
          <w:lang w:val="zh-CN" w:eastAsia="zh-CN"/>
        </w:rPr>
        <w:t>两个确立</w:t>
      </w:r>
      <w:r>
        <w:rPr>
          <w:rFonts w:hint="eastAsia" w:ascii="仿宋_GB2312" w:hAnsi="仿宋_GB2312" w:eastAsia="仿宋_GB2312" w:cs="仿宋_GB2312"/>
          <w:sz w:val="32"/>
          <w:szCs w:val="32"/>
          <w:lang w:val="zh-CN" w:eastAsia="zh-CN"/>
        </w:rPr>
        <w:t>”</w:t>
      </w:r>
      <w:r>
        <w:rPr>
          <w:rFonts w:hint="default" w:ascii="仿宋_GB2312" w:hAnsi="仿宋_GB2312" w:eastAsia="仿宋_GB2312" w:cs="仿宋_GB2312"/>
          <w:sz w:val="32"/>
          <w:szCs w:val="32"/>
          <w:lang w:val="zh-CN" w:eastAsia="zh-CN"/>
        </w:rPr>
        <w:t>自觉践行</w:t>
      </w:r>
      <w:r>
        <w:rPr>
          <w:rFonts w:hint="eastAsia" w:ascii="仿宋_GB2312" w:hAnsi="仿宋_GB2312" w:eastAsia="仿宋_GB2312" w:cs="仿宋_GB2312"/>
          <w:sz w:val="32"/>
          <w:szCs w:val="32"/>
          <w:lang w:val="zh-CN" w:eastAsia="zh-CN"/>
        </w:rPr>
        <w:t>“</w:t>
      </w:r>
      <w:r>
        <w:rPr>
          <w:rFonts w:hint="default" w:ascii="仿宋_GB2312" w:hAnsi="仿宋_GB2312" w:eastAsia="仿宋_GB2312" w:cs="仿宋_GB2312"/>
          <w:sz w:val="32"/>
          <w:szCs w:val="32"/>
          <w:lang w:val="zh-CN" w:eastAsia="zh-CN"/>
        </w:rPr>
        <w:t>两个维护</w:t>
      </w:r>
      <w:r>
        <w:rPr>
          <w:rFonts w:hint="eastAsia" w:ascii="仿宋_GB2312" w:hAnsi="仿宋_GB2312" w:eastAsia="仿宋_GB2312" w:cs="仿宋_GB2312"/>
          <w:sz w:val="32"/>
          <w:szCs w:val="32"/>
          <w:lang w:val="zh-CN" w:eastAsia="zh-CN"/>
        </w:rPr>
        <w:t>”</w:t>
      </w:r>
      <w:r>
        <w:rPr>
          <w:rFonts w:hint="default" w:ascii="仿宋_GB2312" w:hAnsi="仿宋_GB2312" w:eastAsia="仿宋_GB2312" w:cs="仿宋_GB2312"/>
          <w:sz w:val="32"/>
          <w:szCs w:val="32"/>
          <w:lang w:val="zh-CN" w:eastAsia="zh-CN"/>
        </w:rPr>
        <w:t>，聚焦政治监督、惩治腐败、正风肃纪、专项治理、自身建设等重点任务持续用力，充分发挥监督保障执行、促进完善发展作用，中央纪检监察转移支付资金主要用于谈话室建设，配备办公设备、通讯设备等满足日常工作需要，为</w:t>
      </w:r>
      <w:r>
        <w:rPr>
          <w:rFonts w:hint="eastAsia" w:ascii="仿宋_GB2312" w:hAnsi="仿宋_GB2312" w:eastAsia="仿宋_GB2312" w:cs="仿宋_GB2312"/>
          <w:sz w:val="32"/>
          <w:szCs w:val="32"/>
          <w:lang w:val="zh-CN" w:eastAsia="zh-CN"/>
        </w:rPr>
        <w:t>卫子</w:t>
      </w:r>
      <w:r>
        <w:rPr>
          <w:rFonts w:hint="default" w:ascii="仿宋_GB2312" w:hAnsi="仿宋_GB2312" w:eastAsia="仿宋_GB2312" w:cs="仿宋_GB2312"/>
          <w:sz w:val="32"/>
          <w:szCs w:val="32"/>
          <w:lang w:val="zh-CN" w:eastAsia="zh-CN"/>
        </w:rPr>
        <w:t>镇建设提供坚强保障。</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eastAsia" w:ascii="仿宋_GB2312" w:hAnsi="仿宋_GB2312" w:eastAsia="仿宋_GB2312" w:cs="仿宋_GB2312"/>
          <w:sz w:val="32"/>
          <w:szCs w:val="32"/>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）项目绩效目标。</w:t>
      </w:r>
      <w:r>
        <w:rPr>
          <w:rFonts w:hint="default" w:ascii="仿宋_GB2312" w:hAnsi="仿宋_GB2312" w:eastAsia="仿宋_GB2312" w:cs="仿宋_GB2312"/>
          <w:sz w:val="32"/>
          <w:szCs w:val="32"/>
          <w:lang w:val="zh-CN" w:eastAsia="zh-CN"/>
        </w:rPr>
        <w:t>我镇</w:t>
      </w:r>
      <w:r>
        <w:rPr>
          <w:rFonts w:hint="eastAsia" w:ascii="仿宋_GB2312" w:hAnsi="仿宋_GB2312" w:eastAsia="仿宋_GB2312" w:cs="仿宋_GB2312"/>
          <w:sz w:val="32"/>
          <w:szCs w:val="32"/>
          <w:lang w:val="en-US" w:eastAsia="zh-CN"/>
        </w:rPr>
        <w:t>关于下达2022年中央纪检监察转移支付资金</w:t>
      </w:r>
      <w:r>
        <w:rPr>
          <w:rFonts w:hint="default" w:ascii="仿宋_GB2312" w:hAnsi="仿宋_GB2312" w:eastAsia="仿宋_GB2312" w:cs="仿宋_GB2312"/>
          <w:sz w:val="32"/>
          <w:szCs w:val="32"/>
          <w:lang w:val="zh-CN" w:eastAsia="zh-CN"/>
        </w:rPr>
        <w:t>主要用于谈话室建设，配备办公设备、通讯设备等满足日常工作需要</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sz w:val="32"/>
          <w:szCs w:val="32"/>
          <w:lang w:val="zh-CN" w:eastAsia="zh-CN"/>
        </w:rPr>
        <w:t>宪法、国旗、说出你的事公开栏、回音壁、曝光台、文化墙、四同协作公开栏、廉洁箴言、信访办理流程、信访室文化墙等</w:t>
      </w:r>
      <w:r>
        <w:rPr>
          <w:rFonts w:hint="eastAsia" w:ascii="仿宋_GB2312" w:hAnsi="仿宋_GB2312" w:eastAsia="仿宋_GB2312" w:cs="仿宋_GB2312"/>
          <w:sz w:val="32"/>
          <w:szCs w:val="32"/>
          <w:lang w:val="en-US" w:eastAsia="zh-CN"/>
        </w:rPr>
        <w:t>广告部分、安装门禁指纹锁1套、安装监控系统1套、铺设地毯1套等。</w:t>
      </w:r>
      <w:r>
        <w:rPr>
          <w:rFonts w:hint="eastAsia" w:ascii="仿宋_GB2312" w:hAnsi="仿宋_GB2312" w:eastAsia="仿宋_GB2312" w:cs="仿宋_GB2312"/>
          <w:sz w:val="32"/>
          <w:szCs w:val="32"/>
          <w:lang w:val="zh-CN" w:eastAsia="zh-CN"/>
        </w:rPr>
        <w:t>项目计划在申报获准后，立即陆续投入建设，并在本年度内全面竣工，</w:t>
      </w:r>
      <w:r>
        <w:rPr>
          <w:rFonts w:hint="default" w:ascii="仿宋_GB2312" w:hAnsi="仿宋_GB2312" w:eastAsia="仿宋_GB2312" w:cs="仿宋_GB2312"/>
          <w:sz w:val="32"/>
          <w:szCs w:val="32"/>
          <w:lang w:val="zh-CN" w:eastAsia="zh-CN"/>
        </w:rPr>
        <w:t>充分发挥监督保障执行、促进完善发展作用</w:t>
      </w:r>
      <w:r>
        <w:rPr>
          <w:rFonts w:hint="eastAsia" w:ascii="仿宋_GB2312" w:hAnsi="仿宋_GB2312" w:eastAsia="仿宋_GB2312" w:cs="仿宋_GB2312"/>
          <w:sz w:val="32"/>
          <w:szCs w:val="32"/>
          <w:lang w:val="zh-CN" w:eastAsia="zh-CN"/>
        </w:rPr>
        <w:t>。</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）项目自评步骤及方法</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村、社区居民建议意见，做好自评工作。</w:t>
      </w:r>
      <w:r>
        <w:rPr>
          <w:rFonts w:hint="eastAsia" w:ascii="仿宋_GB2312" w:hAnsi="仿宋_GB2312" w:eastAsia="仿宋_GB2312" w:cs="仿宋_GB2312"/>
          <w:sz w:val="32"/>
          <w:szCs w:val="32"/>
          <w:lang w:val="zh-CN" w:eastAsia="zh-CN"/>
        </w:rPr>
        <w:t>并对照年初预算的绩效目标使用《广元市昭化区财政项目（政策）支出绩效自评表》进行打分，出具评价结果并提交绩效</w:t>
      </w:r>
      <w:r>
        <w:rPr>
          <w:rFonts w:hint="eastAsia" w:ascii="仿宋_GB2312" w:hAnsi="仿宋_GB2312" w:eastAsia="仿宋_GB2312" w:cs="仿宋_GB2312"/>
          <w:sz w:val="32"/>
          <w:szCs w:val="32"/>
          <w:lang w:val="en-US" w:eastAsia="zh-CN"/>
        </w:rPr>
        <w:t>自评</w:t>
      </w:r>
      <w:r>
        <w:rPr>
          <w:rFonts w:hint="eastAsia" w:ascii="仿宋_GB2312" w:hAnsi="仿宋_GB2312" w:eastAsia="仿宋_GB2312" w:cs="仿宋_GB2312"/>
          <w:sz w:val="32"/>
          <w:szCs w:val="32"/>
          <w:lang w:val="zh-CN" w:eastAsia="zh-CN"/>
        </w:rPr>
        <w:t>报告等程序进行。</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二、项目</w:t>
      </w:r>
      <w:r>
        <w:rPr>
          <w:rFonts w:hint="eastAsia" w:ascii="黑体" w:hAnsi="黑体" w:eastAsia="黑体" w:cs="黑体"/>
          <w:color w:val="auto"/>
          <w:kern w:val="0"/>
          <w:sz w:val="32"/>
          <w:szCs w:val="32"/>
          <w:highlight w:val="none"/>
          <w:lang w:val="en-US" w:eastAsia="zh-CN" w:bidi="ar-SA"/>
        </w:rPr>
        <w:t>资金申报及使用情况</w:t>
      </w:r>
    </w:p>
    <w:p>
      <w:pPr>
        <w:pageBreakBefore w:val="0"/>
        <w:kinsoku/>
        <w:wordWrap/>
        <w:overflowPunct/>
        <w:topLinePunct w:val="0"/>
        <w:autoSpaceDE w:val="0"/>
        <w:autoSpaceDN w:val="0"/>
        <w:bidi w:val="0"/>
        <w:adjustRightInd w:val="0"/>
        <w:spacing w:line="576" w:lineRule="exact"/>
        <w:ind w:firstLine="642" w:firstLineChars="200"/>
        <w:jc w:val="left"/>
        <w:textAlignment w:val="auto"/>
        <w:outlineLvl w:val="2"/>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（一）项目资金申报及批复情况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关于下达2022年中央纪检监察转移支付资金</w:t>
      </w:r>
      <w:r>
        <w:rPr>
          <w:rFonts w:hint="eastAsia" w:ascii="仿宋_GB2312" w:hAnsi="仿宋_GB2312" w:eastAsia="仿宋_GB2312" w:cs="仿宋_GB2312"/>
          <w:sz w:val="32"/>
          <w:szCs w:val="32"/>
          <w:lang w:val="zh-CN" w:eastAsia="zh-CN"/>
        </w:rPr>
        <w:t>项目预算</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zh-CN" w:eastAsia="zh-CN"/>
        </w:rPr>
        <w:t>万元，区财政批复预</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zh-CN" w:eastAsia="zh-CN"/>
        </w:rPr>
        <w:t>万元，下达资金</w:t>
      </w:r>
      <w:r>
        <w:rPr>
          <w:rFonts w:hint="eastAsia" w:ascii="仿宋_GB2312" w:hAnsi="仿宋_GB2312" w:eastAsia="仿宋_GB2312" w:cs="仿宋_GB2312"/>
          <w:sz w:val="32"/>
          <w:szCs w:val="32"/>
          <w:lang w:val="en-US" w:eastAsia="zh-CN"/>
        </w:rPr>
        <w:t>7万元，资金到位率100%。支付依据符合相关规定，项目资金支付与预算申请相符合。</w:t>
      </w:r>
    </w:p>
    <w:p>
      <w:pPr>
        <w:pageBreakBefore w:val="0"/>
        <w:kinsoku/>
        <w:wordWrap/>
        <w:overflowPunct/>
        <w:topLinePunct w:val="0"/>
        <w:autoSpaceDE w:val="0"/>
        <w:autoSpaceDN w:val="0"/>
        <w:bidi w:val="0"/>
        <w:adjustRightInd w:val="0"/>
        <w:spacing w:line="576" w:lineRule="exact"/>
        <w:ind w:firstLine="642"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项目计划、到位及使用</w:t>
      </w:r>
      <w:r>
        <w:rPr>
          <w:rFonts w:hint="default" w:ascii="仿宋" w:hAnsi="仿宋" w:eastAsia="仿宋" w:cs="Times New Roman"/>
          <w:b/>
          <w:color w:val="auto"/>
          <w:sz w:val="32"/>
          <w:szCs w:val="32"/>
          <w:highlight w:val="none"/>
          <w:lang w:val="zh-CN" w:eastAsia="zh-CN"/>
        </w:rPr>
        <w:t>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1．资金计划。</w:t>
      </w:r>
      <w:r>
        <w:rPr>
          <w:rFonts w:hint="eastAsia" w:ascii="仿宋_GB2312" w:hAnsi="仿宋_GB2312" w:eastAsia="仿宋_GB2312" w:cs="仿宋_GB2312"/>
          <w:sz w:val="32"/>
          <w:szCs w:val="32"/>
          <w:lang w:val="en-US" w:eastAsia="zh-CN"/>
        </w:rPr>
        <w:t>该</w:t>
      </w:r>
      <w:r>
        <w:rPr>
          <w:rFonts w:hint="eastAsia" w:ascii="仿宋_GB2312" w:hAnsi="仿宋_GB2312" w:eastAsia="仿宋_GB2312" w:cs="仿宋_GB2312"/>
          <w:sz w:val="32"/>
          <w:szCs w:val="32"/>
          <w:lang w:val="zh-CN" w:eastAsia="zh-CN"/>
        </w:rPr>
        <w:t>项目资金来源为财政拨款，总投入为</w:t>
      </w:r>
      <w:r>
        <w:rPr>
          <w:rFonts w:hint="eastAsia" w:ascii="仿宋_GB2312" w:hAnsi="仿宋_GB2312" w:eastAsia="仿宋_GB2312" w:cs="仿宋_GB2312"/>
          <w:sz w:val="32"/>
          <w:szCs w:val="32"/>
          <w:lang w:val="en-US" w:eastAsia="zh-CN"/>
        </w:rPr>
        <w:t>7万元。</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2．资金到位。截止评价时点，该项目</w:t>
      </w:r>
      <w:r>
        <w:rPr>
          <w:rFonts w:hint="eastAsia" w:ascii="仿宋_GB2312" w:hAnsi="仿宋_GB2312" w:eastAsia="仿宋_GB2312" w:cs="仿宋_GB2312"/>
          <w:sz w:val="32"/>
          <w:szCs w:val="32"/>
          <w:lang w:val="en-US" w:eastAsia="zh-CN"/>
        </w:rPr>
        <w:t>资金全部到位，资金到位率100%。</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3．资金使用。截止评价时点，该项目</w:t>
      </w:r>
      <w:r>
        <w:rPr>
          <w:rFonts w:hint="eastAsia" w:ascii="仿宋_GB2312" w:hAnsi="仿宋_GB2312" w:eastAsia="仿宋_GB2312" w:cs="仿宋_GB2312"/>
          <w:sz w:val="32"/>
          <w:szCs w:val="32"/>
          <w:lang w:val="en-US" w:eastAsia="zh-CN"/>
        </w:rPr>
        <w:t>已支付，资金使用率100%。</w:t>
      </w:r>
      <w:r>
        <w:rPr>
          <w:rFonts w:hint="eastAsia" w:ascii="仿宋_GB2312" w:hAnsi="仿宋_GB2312" w:eastAsia="仿宋_GB2312" w:cs="仿宋_GB2312"/>
          <w:sz w:val="32"/>
          <w:szCs w:val="32"/>
          <w:lang w:val="zh-CN" w:eastAsia="zh-CN"/>
        </w:rPr>
        <w:t>资金使用</w:t>
      </w:r>
      <w:r>
        <w:rPr>
          <w:rFonts w:hint="eastAsia" w:ascii="仿宋_GB2312" w:hAnsi="仿宋_GB2312" w:eastAsia="仿宋_GB2312" w:cs="仿宋_GB2312"/>
          <w:sz w:val="32"/>
          <w:szCs w:val="32"/>
          <w:lang w:val="en-US" w:eastAsia="zh-CN"/>
        </w:rPr>
        <w:t>具有</w:t>
      </w:r>
      <w:r>
        <w:rPr>
          <w:rFonts w:hint="eastAsia" w:ascii="仿宋_GB2312" w:hAnsi="仿宋_GB2312" w:eastAsia="仿宋_GB2312" w:cs="仿宋_GB2312"/>
          <w:sz w:val="32"/>
          <w:szCs w:val="32"/>
          <w:lang w:val="zh-CN" w:eastAsia="zh-CN"/>
        </w:rPr>
        <w:t>安全性、规范性、有效性，</w:t>
      </w:r>
      <w:r>
        <w:rPr>
          <w:rFonts w:hint="eastAsia" w:ascii="仿宋_GB2312" w:hAnsi="仿宋_GB2312" w:eastAsia="仿宋_GB2312" w:cs="仿宋_GB2312"/>
          <w:sz w:val="32"/>
          <w:szCs w:val="32"/>
          <w:lang w:val="en-US" w:eastAsia="zh-CN"/>
        </w:rPr>
        <w:t>严格按照</w:t>
      </w:r>
      <w:r>
        <w:rPr>
          <w:rFonts w:hint="eastAsia" w:ascii="仿宋_GB2312" w:hAnsi="仿宋_GB2312" w:eastAsia="仿宋_GB2312" w:cs="仿宋_GB2312"/>
          <w:sz w:val="32"/>
          <w:szCs w:val="32"/>
          <w:lang w:val="zh-CN" w:eastAsia="zh-CN"/>
        </w:rPr>
        <w:t>资金支付范围、支付标准</w:t>
      </w:r>
      <w:r>
        <w:rPr>
          <w:rFonts w:hint="eastAsia" w:ascii="仿宋_GB2312" w:hAnsi="仿宋_GB2312" w:eastAsia="仿宋_GB2312" w:cs="仿宋_GB2312"/>
          <w:sz w:val="32"/>
          <w:szCs w:val="32"/>
          <w:lang w:val="en-US" w:eastAsia="zh-CN"/>
        </w:rPr>
        <w:t>进行支付，</w:t>
      </w:r>
      <w:r>
        <w:rPr>
          <w:rFonts w:hint="eastAsia" w:ascii="仿宋_GB2312" w:hAnsi="仿宋_GB2312" w:eastAsia="仿宋_GB2312" w:cs="仿宋_GB2312"/>
          <w:sz w:val="32"/>
          <w:szCs w:val="32"/>
          <w:lang w:val="zh-CN" w:eastAsia="zh-CN"/>
        </w:rPr>
        <w:t>支付进度、支付依据合规合法、与预算相符。</w:t>
      </w:r>
    </w:p>
    <w:p>
      <w:pPr>
        <w:pageBreakBefore w:val="0"/>
        <w:kinsoku/>
        <w:wordWrap/>
        <w:overflowPunct/>
        <w:topLinePunct w:val="0"/>
        <w:autoSpaceDE w:val="0"/>
        <w:autoSpaceDN w:val="0"/>
        <w:bidi w:val="0"/>
        <w:adjustRightInd w:val="0"/>
        <w:spacing w:line="576" w:lineRule="exact"/>
        <w:ind w:firstLine="642"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default" w:ascii="仿宋" w:hAnsi="仿宋" w:eastAsia="仿宋" w:cs="Times New Roman"/>
          <w:b/>
          <w:color w:val="auto"/>
          <w:sz w:val="32"/>
          <w:szCs w:val="32"/>
          <w:highlight w:val="none"/>
          <w:lang w:val="zh-CN" w:eastAsia="zh-CN"/>
        </w:rPr>
        <w:t>）项目财务管理情况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lang w:val="en-US" w:eastAsia="zh-CN"/>
        </w:rPr>
      </w:pPr>
      <w:r>
        <w:rPr>
          <w:rFonts w:hint="eastAsia" w:ascii="仿宋_GB2312" w:hAnsi="仿宋_GB2312" w:eastAsia="仿宋_GB2312" w:cs="仿宋_GB2312"/>
          <w:sz w:val="32"/>
          <w:szCs w:val="32"/>
          <w:lang w:val="en-US" w:eastAsia="zh-CN"/>
        </w:rPr>
        <w:t>关于下达2022年中央纪检监察转移支付资金项目资金采取财政直接支付形式，由镇相关部门组织申报材料，形成项目专项资金申请报告报送财务部门，由财政所根据项目进度，严格按照项目资金管理办法对资金进行计划申请、划拨至所提供的企业指定账户，及时、规范对收支进行账务处理和会计核算。对项目资金坚持专款专用、量入为出的原则，并建立好项目专项资金使用台账，加强项目专项资金的财务管理及使用监督管理。</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default" w:ascii="黑体" w:hAnsi="黑体" w:eastAsia="黑体" w:cs="黑体"/>
          <w:color w:val="auto"/>
          <w:kern w:val="0"/>
          <w:sz w:val="32"/>
          <w:szCs w:val="32"/>
          <w:highlight w:val="none"/>
          <w:lang w:val="en-US" w:eastAsia="zh-CN" w:bidi="ar-SA"/>
        </w:rPr>
        <w:t>三、项目</w:t>
      </w:r>
      <w:r>
        <w:rPr>
          <w:rFonts w:hint="eastAsia" w:ascii="黑体" w:hAnsi="黑体" w:eastAsia="黑体" w:cs="黑体"/>
          <w:color w:val="auto"/>
          <w:kern w:val="0"/>
          <w:sz w:val="32"/>
          <w:szCs w:val="32"/>
          <w:highlight w:val="none"/>
          <w:lang w:val="en-US" w:eastAsia="zh-CN" w:bidi="ar-SA"/>
        </w:rPr>
        <w:t>实施及管理情况</w:t>
      </w:r>
      <w:r>
        <w:rPr>
          <w:rFonts w:hint="default" w:ascii="黑体" w:hAnsi="黑体" w:eastAsia="黑体" w:cs="黑体"/>
          <w:color w:val="auto"/>
          <w:kern w:val="0"/>
          <w:sz w:val="32"/>
          <w:szCs w:val="32"/>
          <w:highlight w:val="none"/>
          <w:lang w:val="zh-CN" w:eastAsia="zh-CN" w:bidi="ar-SA"/>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Times New Roman" w:hAnsi="Times New Roman" w:eastAsia="仿宋_GB2312" w:cs="仿宋_GB2312"/>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一</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项目组织架构及实施流程。</w:t>
      </w:r>
      <w:r>
        <w:rPr>
          <w:rFonts w:hint="eastAsia" w:ascii="仿宋_GB2312" w:hAnsi="仿宋_GB2312" w:eastAsia="仿宋_GB2312" w:cs="仿宋_GB2312"/>
          <w:sz w:val="32"/>
          <w:szCs w:val="32"/>
          <w:lang w:val="zh-CN" w:eastAsia="zh-CN"/>
        </w:rPr>
        <w:t>镇党委政府高度重视</w:t>
      </w:r>
      <w:r>
        <w:rPr>
          <w:rFonts w:hint="eastAsia" w:ascii="仿宋_GB2312" w:hAnsi="仿宋_GB2312" w:eastAsia="仿宋_GB2312" w:cs="仿宋_GB2312"/>
          <w:sz w:val="32"/>
          <w:szCs w:val="32"/>
          <w:lang w:val="en-US" w:eastAsia="zh-CN"/>
        </w:rPr>
        <w:t>关于下达2022年中央纪检监察转移支付资金项目</w:t>
      </w:r>
      <w:r>
        <w:rPr>
          <w:rFonts w:hint="eastAsia" w:ascii="仿宋_GB2312" w:hAnsi="仿宋_GB2312" w:eastAsia="仿宋_GB2312" w:cs="仿宋_GB2312"/>
          <w:sz w:val="32"/>
          <w:szCs w:val="32"/>
          <w:lang w:val="zh-CN" w:eastAsia="zh-CN"/>
        </w:rPr>
        <w:t>，并成立工作领导小组。以镇党委副书记、镇长为组长，</w:t>
      </w:r>
      <w:r>
        <w:rPr>
          <w:rFonts w:hint="eastAsia" w:ascii="仿宋_GB2312" w:hAnsi="仿宋_GB2312" w:eastAsia="仿宋_GB2312" w:cs="仿宋_GB2312"/>
          <w:sz w:val="32"/>
          <w:szCs w:val="32"/>
          <w:lang w:val="en-US" w:eastAsia="zh-CN"/>
        </w:rPr>
        <w:t>纪委书记</w:t>
      </w:r>
      <w:r>
        <w:rPr>
          <w:rFonts w:hint="eastAsia" w:ascii="仿宋_GB2312" w:hAnsi="仿宋_GB2312" w:eastAsia="仿宋_GB2312" w:cs="仿宋_GB2312"/>
          <w:sz w:val="32"/>
          <w:szCs w:val="32"/>
          <w:lang w:val="zh-CN" w:eastAsia="zh-CN"/>
        </w:rPr>
        <w:t>为副组长，</w:t>
      </w:r>
      <w:r>
        <w:rPr>
          <w:rFonts w:hint="eastAsia" w:ascii="仿宋_GB2312" w:hAnsi="仿宋_GB2312" w:eastAsia="仿宋_GB2312" w:cs="仿宋_GB2312"/>
          <w:sz w:val="32"/>
          <w:szCs w:val="32"/>
          <w:lang w:val="en-US" w:eastAsia="zh-CN"/>
        </w:rPr>
        <w:t>相关站所负责人</w:t>
      </w:r>
      <w:r>
        <w:rPr>
          <w:rFonts w:hint="eastAsia" w:ascii="仿宋_GB2312" w:hAnsi="仿宋_GB2312" w:eastAsia="仿宋_GB2312" w:cs="仿宋_GB2312"/>
          <w:sz w:val="32"/>
          <w:szCs w:val="32"/>
          <w:lang w:val="zh-CN" w:eastAsia="zh-CN"/>
        </w:rPr>
        <w:t>为成员。抓牢抓实此项目的实施。</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仿宋_GB2312" w:hAnsi="仿宋_GB2312" w:eastAsia="仿宋_GB2312" w:cs="仿宋_GB2312"/>
          <w:sz w:val="32"/>
          <w:szCs w:val="32"/>
          <w:lang w:val="zh-CN" w:eastAsia="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项目管理情况。</w:t>
      </w:r>
      <w:r>
        <w:rPr>
          <w:rFonts w:hint="eastAsia" w:ascii="仿宋_GB2312" w:hAnsi="仿宋_GB2312" w:eastAsia="仿宋_GB2312" w:cs="仿宋_GB2312"/>
          <w:sz w:val="32"/>
          <w:szCs w:val="32"/>
          <w:lang w:val="zh-CN" w:eastAsia="zh-CN"/>
        </w:rPr>
        <w:t>项目资金由镇财政所具体管理，按投资计划，制定管理制度，对项目资金按项目单独核算实行“专款专用、专人管理”，不</w:t>
      </w:r>
      <w:r>
        <w:rPr>
          <w:rFonts w:hint="eastAsia" w:ascii="仿宋_GB2312" w:hAnsi="仿宋_GB2312" w:eastAsia="仿宋_GB2312" w:cs="仿宋_GB2312"/>
          <w:sz w:val="32"/>
          <w:szCs w:val="32"/>
          <w:lang w:val="en-US" w:eastAsia="zh-CN"/>
        </w:rPr>
        <w:t>存在</w:t>
      </w:r>
      <w:r>
        <w:rPr>
          <w:rFonts w:hint="eastAsia" w:ascii="仿宋_GB2312" w:hAnsi="仿宋_GB2312" w:eastAsia="仿宋_GB2312" w:cs="仿宋_GB2312"/>
          <w:sz w:val="32"/>
          <w:szCs w:val="32"/>
          <w:lang w:val="zh-CN" w:eastAsia="zh-CN"/>
        </w:rPr>
        <w:t>挤占挪用项目资金。</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default" w:ascii="黑体" w:hAnsi="黑体" w:eastAsia="黑体" w:cs="黑体"/>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项目监管情况。</w:t>
      </w:r>
      <w:r>
        <w:rPr>
          <w:rFonts w:hint="eastAsia" w:ascii="仿宋_GB2312" w:hAnsi="仿宋_GB2312" w:eastAsia="仿宋_GB2312" w:cs="仿宋_GB2312"/>
          <w:sz w:val="32"/>
          <w:szCs w:val="32"/>
          <w:lang w:val="zh-CN" w:eastAsia="zh-CN"/>
        </w:rPr>
        <w:t>项目的正常实施监督检查是保障。我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val="zh-CN" w:eastAsia="zh-CN"/>
        </w:rPr>
        <w:t>定期或不定期对项目进行现场检查和督查，确保项目建设质量。</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四</w:t>
      </w:r>
      <w:r>
        <w:rPr>
          <w:rFonts w:hint="default" w:ascii="黑体" w:hAnsi="黑体" w:eastAsia="黑体" w:cs="黑体"/>
          <w:color w:val="auto"/>
          <w:kern w:val="0"/>
          <w:sz w:val="32"/>
          <w:szCs w:val="32"/>
          <w:highlight w:val="none"/>
          <w:lang w:val="en-US" w:eastAsia="zh-CN" w:bidi="ar-SA"/>
        </w:rPr>
        <w:t>、项目绩效情况</w:t>
      </w:r>
      <w:r>
        <w:rPr>
          <w:rFonts w:hint="default" w:ascii="黑体" w:hAnsi="黑体" w:eastAsia="黑体" w:cs="黑体"/>
          <w:color w:val="auto"/>
          <w:kern w:val="0"/>
          <w:sz w:val="32"/>
          <w:szCs w:val="32"/>
          <w:highlight w:val="none"/>
          <w:lang w:val="zh-CN" w:eastAsia="zh-CN" w:bidi="ar-SA"/>
        </w:rPr>
        <w:tab/>
      </w:r>
    </w:p>
    <w:p>
      <w:pPr>
        <w:pageBreakBefore w:val="0"/>
        <w:kinsoku/>
        <w:wordWrap/>
        <w:overflowPunct/>
        <w:topLinePunct w:val="0"/>
        <w:autoSpaceDE w:val="0"/>
        <w:autoSpaceDN w:val="0"/>
        <w:bidi w:val="0"/>
        <w:adjustRightInd w:val="0"/>
        <w:spacing w:line="576" w:lineRule="exact"/>
        <w:ind w:firstLine="642"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（一）项目完成情况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镇党委政府</w:t>
      </w:r>
      <w:r>
        <w:rPr>
          <w:rFonts w:hint="eastAsia" w:ascii="仿宋_GB2312" w:hAnsi="仿宋_GB2312" w:eastAsia="仿宋_GB2312" w:cs="仿宋_GB2312"/>
          <w:sz w:val="32"/>
          <w:szCs w:val="32"/>
          <w:lang w:val="en-US" w:eastAsia="zh-CN"/>
        </w:rPr>
        <w:t>高度重视关于下达2022年中央纪检监察转移支付资金</w:t>
      </w:r>
      <w:r>
        <w:rPr>
          <w:rFonts w:hint="eastAsia" w:ascii="仿宋_GB2312" w:hAnsi="仿宋_GB2312" w:eastAsia="仿宋_GB2312" w:cs="仿宋_GB2312"/>
          <w:sz w:val="32"/>
          <w:szCs w:val="32"/>
          <w:lang w:val="zh-CN" w:eastAsia="zh-CN"/>
        </w:rPr>
        <w:t>项目，</w:t>
      </w:r>
      <w:r>
        <w:rPr>
          <w:rFonts w:hint="eastAsia" w:ascii="仿宋_GB2312" w:hAnsi="仿宋_GB2312" w:eastAsia="仿宋_GB2312" w:cs="仿宋_GB2312"/>
          <w:sz w:val="32"/>
          <w:szCs w:val="32"/>
          <w:lang w:val="en-US" w:eastAsia="zh-CN"/>
        </w:rPr>
        <w:t>按照质量标准、进度设计、成本控制目标，一是完成</w:t>
      </w:r>
      <w:r>
        <w:rPr>
          <w:rFonts w:hint="eastAsia" w:ascii="仿宋_GB2312" w:hAnsi="仿宋_GB2312" w:eastAsia="仿宋_GB2312" w:cs="仿宋_GB2312"/>
          <w:sz w:val="32"/>
          <w:szCs w:val="32"/>
          <w:lang w:val="zh-CN" w:eastAsia="zh-CN"/>
        </w:rPr>
        <w:t>宪法、国旗、说出你的事公开栏、回音壁、曝光台、文化墙、四同协作公开栏、廉洁箴言、信访办理流程、信访室文化墙等</w:t>
      </w:r>
      <w:r>
        <w:rPr>
          <w:rFonts w:hint="eastAsia" w:ascii="仿宋_GB2312" w:hAnsi="仿宋_GB2312" w:eastAsia="仿宋_GB2312" w:cs="仿宋_GB2312"/>
          <w:sz w:val="32"/>
          <w:szCs w:val="32"/>
          <w:lang w:val="en-US" w:eastAsia="zh-CN"/>
        </w:rPr>
        <w:t>广告安装部分，二是安装门禁指纹锁1套、监控系统1套、地毯1套等。该项目于2022年12月底前全部建设完成，满足日常工作需要，为卫子镇建设提供坚强保障。</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（二）项目效益情况。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通过建设谈话室，配备办公设备、通讯设备等，满足了卫子镇日常办公需要，为聚焦政治监督、惩治腐败、正风肃纪、专项治理、自身建设等重点任务持续用力，充分发挥监督保障执行、促进完善发展作用。</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五</w:t>
      </w:r>
      <w:r>
        <w:rPr>
          <w:rFonts w:hint="default" w:ascii="黑体" w:hAnsi="黑体" w:eastAsia="黑体" w:cs="黑体"/>
          <w:color w:val="auto"/>
          <w:kern w:val="0"/>
          <w:sz w:val="32"/>
          <w:szCs w:val="32"/>
          <w:highlight w:val="none"/>
          <w:lang w:val="en-US" w:eastAsia="zh-CN" w:bidi="ar-SA"/>
        </w:rPr>
        <w:t>、</w:t>
      </w:r>
      <w:r>
        <w:rPr>
          <w:rFonts w:hint="eastAsia" w:ascii="黑体" w:hAnsi="黑体" w:eastAsia="黑体" w:cs="黑体"/>
          <w:color w:val="auto"/>
          <w:kern w:val="0"/>
          <w:sz w:val="32"/>
          <w:szCs w:val="32"/>
          <w:highlight w:val="none"/>
          <w:lang w:val="en-US" w:eastAsia="zh-CN" w:bidi="ar-SA"/>
        </w:rPr>
        <w:t>评价结论及</w:t>
      </w:r>
      <w:r>
        <w:rPr>
          <w:rFonts w:hint="default" w:ascii="黑体" w:hAnsi="黑体" w:eastAsia="黑体" w:cs="黑体"/>
          <w:color w:val="auto"/>
          <w:kern w:val="0"/>
          <w:sz w:val="32"/>
          <w:szCs w:val="32"/>
          <w:highlight w:val="none"/>
          <w:lang w:val="en-US" w:eastAsia="zh-CN" w:bidi="ar-SA"/>
        </w:rPr>
        <w:t>建议</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Times New Roman"/>
          <w:b/>
          <w:color w:val="auto"/>
          <w:sz w:val="32"/>
          <w:szCs w:val="32"/>
          <w:highlight w:val="none"/>
          <w:lang w:val="zh-CN" w:eastAsia="zh-CN"/>
        </w:rPr>
        <w:t>（一）评价结论。</w:t>
      </w:r>
      <w:r>
        <w:rPr>
          <w:rFonts w:hint="eastAsia" w:ascii="仿宋_GB2312" w:hAnsi="仿宋_GB2312" w:eastAsia="仿宋_GB2312" w:cs="仿宋_GB2312"/>
          <w:sz w:val="32"/>
          <w:szCs w:val="32"/>
          <w:lang w:val="zh-CN" w:eastAsia="zh-CN"/>
        </w:rPr>
        <w:t>根据项目决策、管理和绩效方面分析，我镇</w:t>
      </w:r>
      <w:r>
        <w:rPr>
          <w:rFonts w:hint="eastAsia" w:ascii="仿宋_GB2312" w:hAnsi="仿宋_GB2312" w:eastAsia="仿宋_GB2312" w:cs="仿宋_GB2312"/>
          <w:sz w:val="32"/>
          <w:szCs w:val="32"/>
          <w:lang w:val="en-US" w:eastAsia="zh-CN"/>
        </w:rPr>
        <w:t>2022年关于下达2022年中央纪检监察转移支付资金项目保障了卫子镇办公需要，我按照《广元市昭化区人民政府办公室关于印发&lt;广元市昭化区财政支出事后绩效评价管理办法&gt;的通知》(昭府办函[2022]37号)绩效评价指标体系开展绩效评价</w:t>
      </w:r>
      <w:r>
        <w:rPr>
          <w:rFonts w:hint="eastAsia" w:ascii="仿宋_GB2312" w:hAnsi="仿宋_GB2312" w:eastAsia="仿宋_GB2312" w:cs="仿宋_GB2312"/>
          <w:sz w:val="32"/>
          <w:szCs w:val="32"/>
          <w:lang w:val="zh-CN" w:eastAsia="zh-CN"/>
        </w:rPr>
        <w:t>，自评得分为</w:t>
      </w:r>
      <w:r>
        <w:rPr>
          <w:rFonts w:hint="eastAsia" w:ascii="仿宋_GB2312" w:hAnsi="仿宋_GB2312" w:eastAsia="仿宋_GB2312" w:cs="仿宋_GB2312"/>
          <w:sz w:val="32"/>
          <w:szCs w:val="32"/>
          <w:lang w:val="en-US" w:eastAsia="zh-CN"/>
        </w:rPr>
        <w:t>98分。</w:t>
      </w:r>
    </w:p>
    <w:p>
      <w:pPr>
        <w:pageBreakBefore w:val="0"/>
        <w:kinsoku/>
        <w:wordWrap/>
        <w:overflowPunct/>
        <w:topLinePunct w:val="0"/>
        <w:autoSpaceDE w:val="0"/>
        <w:autoSpaceDN w:val="0"/>
        <w:bidi w:val="0"/>
        <w:adjustRightInd w:val="0"/>
        <w:spacing w:line="576" w:lineRule="exact"/>
        <w:ind w:firstLine="642" w:firstLineChars="200"/>
        <w:jc w:val="left"/>
        <w:textAlignment w:val="auto"/>
        <w:outlineLvl w:val="2"/>
        <w:rPr>
          <w:rFonts w:hint="default"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（二）存在的问题。</w:t>
      </w:r>
      <w:r>
        <w:rPr>
          <w:rFonts w:hint="eastAsia" w:ascii="仿宋_GB2312" w:hAnsi="仿宋_GB2312" w:eastAsia="仿宋_GB2312" w:cs="仿宋_GB2312"/>
          <w:sz w:val="32"/>
          <w:szCs w:val="32"/>
          <w:lang w:val="en-US" w:eastAsia="zh-CN"/>
        </w:rPr>
        <w:t>项目资料审核较慢，资金未及时拨付。</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eastAsia" w:ascii="仿宋_GB2312" w:hAnsi="仿宋_GB2312" w:eastAsia="仿宋_GB2312" w:cs="仿宋_GB2312"/>
          <w:sz w:val="32"/>
          <w:szCs w:val="32"/>
          <w:lang w:val="zh-CN" w:eastAsia="zh-CN"/>
        </w:rPr>
      </w:pPr>
      <w:r>
        <w:rPr>
          <w:rFonts w:hint="eastAsia" w:ascii="仿宋" w:hAnsi="仿宋" w:eastAsia="仿宋" w:cs="Times New Roman"/>
          <w:b/>
          <w:color w:val="auto"/>
          <w:sz w:val="32"/>
          <w:szCs w:val="32"/>
          <w:highlight w:val="none"/>
          <w:lang w:val="zh-CN" w:eastAsia="zh-CN"/>
        </w:rPr>
        <w:t>（三）相关建议。</w:t>
      </w:r>
      <w:r>
        <w:rPr>
          <w:rFonts w:hint="eastAsia" w:ascii="仿宋_GB2312" w:hAnsi="仿宋_GB2312" w:eastAsia="仿宋_GB2312" w:cs="仿宋_GB2312"/>
          <w:sz w:val="32"/>
          <w:szCs w:val="32"/>
          <w:lang w:val="zh-CN" w:eastAsia="zh-CN"/>
        </w:rPr>
        <w:t>加强该项目资金实施的事前、事中、事后监督，提高项目资金使用精准，加强项目资金的财务核算管理，</w:t>
      </w:r>
      <w:r>
        <w:rPr>
          <w:rFonts w:hint="eastAsia" w:ascii="仿宋_GB2312" w:hAnsi="仿宋_GB2312" w:eastAsia="仿宋_GB2312" w:cs="仿宋_GB2312"/>
          <w:sz w:val="32"/>
          <w:szCs w:val="32"/>
          <w:lang w:val="en-US" w:eastAsia="zh-CN"/>
        </w:rPr>
        <w:t>及时报送审核项目资料</w:t>
      </w:r>
      <w:r>
        <w:rPr>
          <w:rFonts w:hint="eastAsia" w:ascii="仿宋_GB2312" w:hAnsi="仿宋_GB2312" w:eastAsia="仿宋_GB2312" w:cs="仿宋_GB2312"/>
          <w:sz w:val="32"/>
          <w:szCs w:val="32"/>
          <w:lang w:val="zh-CN" w:eastAsia="zh-CN"/>
        </w:rPr>
        <w:t>。</w:t>
      </w:r>
    </w:p>
    <w:p>
      <w:pPr>
        <w:pStyle w:val="16"/>
        <w:widowControl/>
        <w:shd w:val="clear" w:color="auto" w:fill="FFFFFF"/>
        <w:spacing w:beforeAutospacing="0" w:afterAutospacing="0" w:line="30" w:lineRule="atLeast"/>
        <w:ind w:firstLine="640" w:firstLineChars="200"/>
        <w:jc w:val="both"/>
        <w:textAlignment w:val="center"/>
        <w:rPr>
          <w:rFonts w:hint="eastAsia" w:eastAsia="仿宋_GB2312"/>
          <w:sz w:val="32"/>
          <w:szCs w:val="32"/>
          <w:highlight w:val="none"/>
          <w:lang w:val="en-US" w:eastAsia="zh-CN"/>
        </w:rPr>
      </w:pPr>
      <w:r>
        <w:rPr>
          <w:rFonts w:hint="eastAsia" w:eastAsia="仿宋_GB2312"/>
          <w:sz w:val="32"/>
          <w:szCs w:val="32"/>
          <w:highlight w:val="none"/>
          <w:lang w:val="en-US" w:eastAsia="zh-CN"/>
        </w:rPr>
        <w:t xml:space="preserve">    </w:t>
      </w:r>
      <w:bookmarkStart w:id="73" w:name="_Toc15396618"/>
      <w:bookmarkStart w:id="74" w:name="_Toc25911"/>
    </w:p>
    <w:p>
      <w:pPr>
        <w:pStyle w:val="16"/>
        <w:widowControl/>
        <w:shd w:val="clear" w:color="auto" w:fill="FFFFFF"/>
        <w:spacing w:beforeAutospacing="0" w:afterAutospacing="0" w:line="30" w:lineRule="atLeast"/>
        <w:ind w:firstLine="640" w:firstLineChars="200"/>
        <w:jc w:val="both"/>
        <w:textAlignment w:val="center"/>
        <w:rPr>
          <w:rFonts w:hint="eastAsia" w:eastAsia="仿宋_GB2312"/>
          <w:sz w:val="32"/>
          <w:szCs w:val="32"/>
          <w:highlight w:val="none"/>
          <w:lang w:val="en-US" w:eastAsia="zh-CN"/>
        </w:rPr>
      </w:pPr>
    </w:p>
    <w:p>
      <w:pPr>
        <w:pStyle w:val="16"/>
        <w:widowControl/>
        <w:shd w:val="clear" w:color="auto" w:fill="FFFFFF"/>
        <w:spacing w:beforeAutospacing="0" w:afterAutospacing="0" w:line="30" w:lineRule="atLeast"/>
        <w:jc w:val="both"/>
        <w:textAlignment w:val="center"/>
        <w:rPr>
          <w:rFonts w:hint="eastAsia" w:eastAsia="仿宋_GB2312"/>
          <w:sz w:val="32"/>
          <w:szCs w:val="32"/>
          <w:highlight w:val="none"/>
          <w:lang w:val="en-US" w:eastAsia="zh-CN"/>
        </w:rPr>
      </w:pPr>
    </w:p>
    <w:p>
      <w:pPr>
        <w:pStyle w:val="16"/>
        <w:widowControl/>
        <w:shd w:val="clear" w:color="auto" w:fill="FFFFFF"/>
        <w:spacing w:beforeAutospacing="0" w:afterAutospacing="0" w:line="30" w:lineRule="atLeast"/>
        <w:ind w:firstLine="640" w:firstLineChars="200"/>
        <w:jc w:val="both"/>
        <w:textAlignment w:val="center"/>
        <w:rPr>
          <w:rFonts w:hint="eastAsia" w:eastAsia="仿宋_GB2312"/>
          <w:sz w:val="32"/>
          <w:szCs w:val="32"/>
          <w:highlight w:val="none"/>
          <w:lang w:val="en-US" w:eastAsia="zh-CN"/>
        </w:rPr>
      </w:pPr>
    </w:p>
    <w:tbl>
      <w:tblPr>
        <w:tblStyle w:val="18"/>
        <w:tblW w:w="94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784"/>
        <w:gridCol w:w="1056"/>
        <w:gridCol w:w="1062"/>
        <w:gridCol w:w="1219"/>
        <w:gridCol w:w="1639"/>
        <w:gridCol w:w="1538"/>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946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40"/>
                <w:szCs w:val="40"/>
                <w:u w:val="none"/>
              </w:rPr>
            </w:pPr>
            <w:r>
              <w:rPr>
                <w:rFonts w:hint="default" w:ascii="黑体" w:hAnsi="宋体" w:eastAsia="黑体" w:cs="黑体"/>
                <w:b/>
                <w:bCs/>
                <w:i w:val="0"/>
                <w:iCs w:val="0"/>
                <w:color w:val="000000"/>
                <w:kern w:val="0"/>
                <w:sz w:val="40"/>
                <w:szCs w:val="40"/>
                <w:u w:val="none"/>
                <w:lang w:val="en-US" w:eastAsia="zh-CN" w:bidi="ar"/>
              </w:rPr>
              <w:t>广元市昭化区卫子镇</w:t>
            </w:r>
            <w:r>
              <w:rPr>
                <w:rFonts w:hint="eastAsia" w:ascii="黑体" w:hAnsi="宋体" w:eastAsia="黑体" w:cs="黑体"/>
                <w:b/>
                <w:bCs/>
                <w:i w:val="0"/>
                <w:iCs w:val="0"/>
                <w:color w:val="000000"/>
                <w:kern w:val="0"/>
                <w:sz w:val="40"/>
                <w:szCs w:val="40"/>
                <w:u w:val="none"/>
                <w:lang w:val="en-US" w:eastAsia="zh-CN" w:bidi="ar"/>
              </w:rPr>
              <w:t>基层组织活动和公共服务运行项目支出绩效</w:t>
            </w:r>
            <w:r>
              <w:rPr>
                <w:rFonts w:hint="default" w:ascii="黑体" w:hAnsi="宋体" w:eastAsia="黑体" w:cs="黑体"/>
                <w:b/>
                <w:bCs/>
                <w:i w:val="0"/>
                <w:iCs w:val="0"/>
                <w:color w:val="000000"/>
                <w:kern w:val="0"/>
                <w:sz w:val="40"/>
                <w:szCs w:val="40"/>
                <w:u w:val="none"/>
                <w:lang w:val="en-US" w:eastAsia="zh-CN" w:bidi="ar"/>
              </w:rPr>
              <w:t>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946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77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关于下达2022年中央纪检监察转移支付资金的通知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9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w:t>
            </w:r>
            <w:r>
              <w:rPr>
                <w:rFonts w:hint="eastAsia" w:ascii="宋体" w:hAnsi="宋体" w:cs="宋体"/>
                <w:i w:val="0"/>
                <w:iCs w:val="0"/>
                <w:color w:val="000000"/>
                <w:kern w:val="0"/>
                <w:sz w:val="18"/>
                <w:szCs w:val="18"/>
                <w:u w:val="none"/>
                <w:lang w:val="en-US" w:eastAsia="zh-CN" w:bidi="ar"/>
              </w:rPr>
              <w:t>卫子</w:t>
            </w:r>
            <w:r>
              <w:rPr>
                <w:rFonts w:hint="eastAsia" w:ascii="宋体" w:hAnsi="宋体" w:eastAsia="宋体" w:cs="宋体"/>
                <w:i w:val="0"/>
                <w:iCs w:val="0"/>
                <w:color w:val="000000"/>
                <w:kern w:val="0"/>
                <w:sz w:val="18"/>
                <w:szCs w:val="18"/>
                <w:u w:val="none"/>
                <w:lang w:val="en-US" w:eastAsia="zh-CN" w:bidi="ar"/>
              </w:rPr>
              <w:t>镇人民政府</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12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卫子</w:t>
            </w:r>
            <w:r>
              <w:rPr>
                <w:rFonts w:hint="eastAsia" w:ascii="宋体" w:hAnsi="宋体" w:eastAsia="宋体" w:cs="宋体"/>
                <w:i w:val="0"/>
                <w:iCs w:val="0"/>
                <w:color w:val="000000"/>
                <w:kern w:val="0"/>
                <w:sz w:val="18"/>
                <w:szCs w:val="18"/>
                <w:u w:val="none"/>
                <w:lang w:val="en-US" w:eastAsia="zh-CN" w:bidi="ar"/>
              </w:rPr>
              <w:t>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20"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118"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6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调整后预算数</w:t>
            </w:r>
          </w:p>
        </w:tc>
        <w:tc>
          <w:tcPr>
            <w:tcW w:w="15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7</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7</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7</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7</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7</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7</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2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72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122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1"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坚持以习近平新时代中国特色社会主义思想为指引，坚决拥护“两个确立”自觉践行“两个维护”，聚焦政治监督、惩治腐败、正风肃纪、专项治理、自身建设等重点任务持续用力，充分发挥监督保障执行、促进完善发展作用，中央纪检监察转移支付资金主要用于谈话室建设，配备办公设备、通讯设备等满足日常工作需要，为</w:t>
            </w:r>
            <w:r>
              <w:rPr>
                <w:rFonts w:hint="eastAsia" w:ascii="宋体" w:hAnsi="宋体" w:cs="宋体"/>
                <w:i w:val="0"/>
                <w:iCs w:val="0"/>
                <w:color w:val="000000"/>
                <w:kern w:val="0"/>
                <w:sz w:val="16"/>
                <w:szCs w:val="16"/>
                <w:u w:val="none"/>
                <w:lang w:val="en-US" w:eastAsia="zh-CN" w:bidi="ar"/>
              </w:rPr>
              <w:t>卫子</w:t>
            </w:r>
            <w:r>
              <w:rPr>
                <w:rFonts w:hint="eastAsia" w:ascii="宋体" w:hAnsi="宋体" w:eastAsia="宋体" w:cs="宋体"/>
                <w:i w:val="0"/>
                <w:iCs w:val="0"/>
                <w:color w:val="000000"/>
                <w:kern w:val="0"/>
                <w:sz w:val="16"/>
                <w:szCs w:val="16"/>
                <w:u w:val="none"/>
                <w:lang w:val="en-US" w:eastAsia="zh-CN" w:bidi="ar"/>
              </w:rPr>
              <w:t>镇建设提供坚强保障。</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5"/>
                <w:szCs w:val="15"/>
                <w:u w:val="none"/>
                <w:lang w:val="en-US" w:eastAsia="zh-CN" w:bidi="ar"/>
              </w:rPr>
              <w:t>建设纪委谈话室1间，配备办公设备、通讯设施设备，完善制度，满足日常工作需要，于2022年12月经主管部门验收合格。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绩效指标</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二级指标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三级指标</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指标值</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数量指标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纪委谈话室装修间数</w:t>
            </w:r>
          </w:p>
        </w:tc>
        <w:tc>
          <w:tcPr>
            <w:tcW w:w="163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0"/>
                <w:szCs w:val="20"/>
                <w:u w:val="none"/>
                <w:lang w:val="en-US" w:eastAsia="zh-CN" w:bidi="ar"/>
              </w:rPr>
              <w:t>≥1间</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0"/>
                <w:szCs w:val="20"/>
                <w:u w:val="none"/>
                <w:lang w:val="en-US" w:eastAsia="zh-CN" w:bidi="ar"/>
              </w:rPr>
              <w:t>1间</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广告部分（宪法、国旗、说出你的事公开栏、回音壁、曝光台、文化墙、四同协作公开栏、廉洁箴言、信访办理流程、信访室文化墙等）</w:t>
            </w:r>
          </w:p>
        </w:tc>
        <w:tc>
          <w:tcPr>
            <w:tcW w:w="163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≥1套</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软包桌椅沙发</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0"/>
                <w:szCs w:val="20"/>
                <w:u w:val="none"/>
                <w:lang w:val="en-US" w:eastAsia="zh-CN" w:bidi="ar"/>
              </w:rPr>
              <w:t>≥1套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8"/>
                <w:szCs w:val="18"/>
                <w:u w:val="none"/>
                <w:lang w:val="en-US" w:eastAsia="zh-CN" w:bidi="ar-SA"/>
              </w:rPr>
            </w:pPr>
            <w:r>
              <w:rPr>
                <w:rFonts w:hint="eastAsia" w:ascii="宋体" w:hAnsi="宋体" w:eastAsia="宋体" w:cs="宋体"/>
                <w:i w:val="0"/>
                <w:iCs w:val="0"/>
                <w:color w:val="000000"/>
                <w:kern w:val="0"/>
                <w:sz w:val="20"/>
                <w:szCs w:val="20"/>
                <w:u w:val="none"/>
                <w:lang w:val="en-US" w:eastAsia="zh-CN" w:bidi="ar"/>
              </w:rPr>
              <w:t>监控系统</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0"/>
                <w:szCs w:val="20"/>
                <w:u w:val="none"/>
                <w:lang w:val="en-US" w:eastAsia="zh-CN" w:bidi="ar"/>
              </w:rPr>
              <w:t>≥1套</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0"/>
                <w:szCs w:val="20"/>
                <w:u w:val="none"/>
                <w:lang w:val="en-US" w:eastAsia="zh-CN" w:bidi="ar"/>
              </w:rPr>
              <w:t>1套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8"/>
                <w:szCs w:val="18"/>
                <w:u w:val="none"/>
                <w:lang w:val="en-US" w:eastAsia="zh-CN" w:bidi="ar-SA"/>
              </w:rPr>
            </w:pPr>
            <w:r>
              <w:rPr>
                <w:rFonts w:hint="eastAsia" w:ascii="宋体" w:hAnsi="宋体" w:eastAsia="宋体" w:cs="宋体"/>
                <w:i w:val="0"/>
                <w:iCs w:val="0"/>
                <w:color w:val="000000"/>
                <w:kern w:val="0"/>
                <w:sz w:val="20"/>
                <w:szCs w:val="20"/>
                <w:u w:val="none"/>
                <w:lang w:val="en-US" w:eastAsia="zh-CN" w:bidi="ar"/>
              </w:rPr>
              <w:t>门禁指纹锁</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≥1套</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地毯</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20"/>
                <w:szCs w:val="20"/>
                <w:u w:val="none"/>
                <w:lang w:val="en-US" w:eastAsia="zh-CN" w:bidi="ar"/>
              </w:rPr>
              <w:t>=1套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质量指标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购置设备合格率</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≥98%</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100%</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时效指标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8"/>
                <w:szCs w:val="18"/>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2022年12月底前全部建设完成</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Arial" w:hAnsi="Arial" w:cs="Arial"/>
                <w:i w:val="0"/>
                <w:iCs w:val="0"/>
                <w:color w:val="000000"/>
                <w:kern w:val="0"/>
                <w:sz w:val="20"/>
                <w:szCs w:val="20"/>
                <w:u w:val="none"/>
                <w:lang w:val="en-US" w:eastAsia="zh-CN" w:bidi="ar"/>
              </w:rPr>
              <w:t>=1年</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1年</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资金拨付及时率</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成本指标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经济成本指标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财政资金预算内执行</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Arial" w:hAnsi="Arial" w:eastAsia="宋体" w:cs="Arial"/>
                <w:i w:val="0"/>
                <w:iCs w:val="0"/>
                <w:color w:val="000000"/>
                <w:kern w:val="0"/>
                <w:sz w:val="20"/>
                <w:szCs w:val="20"/>
                <w:u w:val="none"/>
                <w:lang w:val="en-US" w:eastAsia="zh-CN" w:bidi="ar"/>
              </w:rPr>
              <w:t>≤</w:t>
            </w:r>
            <w:r>
              <w:rPr>
                <w:rFonts w:hint="eastAsia" w:ascii="Arial" w:hAnsi="Arial" w:cs="Arial"/>
                <w:i w:val="0"/>
                <w:iCs w:val="0"/>
                <w:color w:val="000000"/>
                <w:kern w:val="0"/>
                <w:sz w:val="20"/>
                <w:szCs w:val="20"/>
                <w:u w:val="none"/>
                <w:lang w:val="en-US" w:eastAsia="zh-CN" w:bidi="ar"/>
              </w:rPr>
              <w:t>7万元</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20"/>
                <w:szCs w:val="20"/>
                <w:u w:val="none"/>
                <w:lang w:val="en-US" w:eastAsia="zh-CN" w:bidi="ar"/>
              </w:rPr>
              <w:t>7万元</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效益指标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营造良好的政治生态环境</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定性</w:t>
            </w:r>
            <w:r>
              <w:rPr>
                <w:rFonts w:hint="eastAsia" w:ascii="宋体" w:hAnsi="宋体" w:cs="宋体"/>
                <w:i w:val="0"/>
                <w:iCs w:val="0"/>
                <w:color w:val="000000"/>
                <w:kern w:val="0"/>
                <w:sz w:val="20"/>
                <w:szCs w:val="20"/>
                <w:u w:val="none"/>
                <w:lang w:val="en-US" w:eastAsia="zh-CN" w:bidi="ar"/>
              </w:rPr>
              <w:t>显著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20"/>
                <w:szCs w:val="20"/>
                <w:u w:val="none"/>
                <w:lang w:val="en-US" w:eastAsia="zh-CN" w:bidi="ar"/>
              </w:rPr>
              <w:t>显著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可持续发展指标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项目年限</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永久</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永久</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群众满意度</w:t>
            </w:r>
          </w:p>
        </w:tc>
        <w:tc>
          <w:tcPr>
            <w:tcW w:w="1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≥98%</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98%</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16"/>
        <w:widowControl/>
        <w:shd w:val="clear" w:color="auto" w:fill="FFFFFF"/>
        <w:spacing w:beforeAutospacing="0" w:afterAutospacing="0" w:line="30" w:lineRule="atLeast"/>
        <w:ind w:firstLine="640" w:firstLineChars="200"/>
        <w:jc w:val="both"/>
        <w:textAlignment w:val="center"/>
        <w:rPr>
          <w:rFonts w:hint="eastAsia" w:eastAsia="仿宋_GB2312"/>
          <w:sz w:val="32"/>
          <w:szCs w:val="32"/>
          <w:highlight w:val="red"/>
          <w:lang w:val="en-US" w:eastAsia="zh-CN"/>
        </w:rPr>
      </w:pPr>
    </w:p>
    <w:p>
      <w:pPr>
        <w:pStyle w:val="16"/>
        <w:widowControl/>
        <w:shd w:val="clear" w:color="auto" w:fill="FFFFFF"/>
        <w:spacing w:beforeAutospacing="0" w:afterAutospacing="0" w:line="30" w:lineRule="atLeast"/>
        <w:ind w:firstLine="640" w:firstLineChars="200"/>
        <w:jc w:val="both"/>
        <w:textAlignment w:val="center"/>
        <w:rPr>
          <w:rFonts w:hint="eastAsia" w:eastAsia="仿宋_GB2312"/>
          <w:sz w:val="32"/>
          <w:szCs w:val="32"/>
          <w:highlight w:val="red"/>
          <w:lang w:val="en-US" w:eastAsia="zh-CN"/>
        </w:rPr>
      </w:pPr>
    </w:p>
    <w:p>
      <w:pPr>
        <w:pStyle w:val="16"/>
        <w:widowControl/>
        <w:shd w:val="clear" w:color="auto" w:fill="FFFFFF"/>
        <w:spacing w:beforeAutospacing="0" w:afterAutospacing="0" w:line="30" w:lineRule="atLeast"/>
        <w:ind w:firstLine="640" w:firstLineChars="200"/>
        <w:jc w:val="both"/>
        <w:textAlignment w:val="center"/>
        <w:rPr>
          <w:rFonts w:hint="eastAsia" w:eastAsia="仿宋_GB2312"/>
          <w:sz w:val="32"/>
          <w:szCs w:val="32"/>
          <w:highlight w:val="red"/>
          <w:lang w:val="en-US" w:eastAsia="zh-CN"/>
        </w:rPr>
      </w:pPr>
    </w:p>
    <w:p>
      <w:pPr>
        <w:pageBreakBefore w:val="0"/>
        <w:kinsoku/>
        <w:wordWrap/>
        <w:overflowPunct/>
        <w:topLinePunct w:val="0"/>
        <w:bidi w:val="0"/>
        <w:spacing w:line="576" w:lineRule="exact"/>
        <w:jc w:val="center"/>
        <w:textAlignment w:val="auto"/>
        <w:outlineLvl w:val="0"/>
        <w:rPr>
          <w:rStyle w:val="30"/>
          <w:rFonts w:hint="default" w:ascii="黑体" w:hAnsi="黑体" w:eastAsia="黑体" w:cstheme="minorBidi"/>
          <w:b w:val="0"/>
          <w:color w:val="auto"/>
          <w:highlight w:val="none"/>
          <w:lang w:val="en-US" w:eastAsia="zh-CN"/>
        </w:rPr>
      </w:pPr>
      <w:r>
        <w:rPr>
          <w:rStyle w:val="30"/>
          <w:rFonts w:hint="eastAsia" w:ascii="黑体" w:hAnsi="黑体" w:eastAsia="黑体" w:cstheme="minorBidi"/>
          <w:b w:val="0"/>
          <w:color w:val="auto"/>
          <w:highlight w:val="none"/>
          <w:lang w:val="en-US" w:eastAsia="zh-CN"/>
        </w:rPr>
        <w:t>2022年关于下达2022年驻村工作队工作经费</w:t>
      </w:r>
      <w:r>
        <w:rPr>
          <w:rStyle w:val="30"/>
          <w:rFonts w:hint="default" w:ascii="黑体" w:hAnsi="黑体" w:eastAsia="黑体" w:cstheme="minorBidi"/>
          <w:b w:val="0"/>
          <w:color w:val="auto"/>
          <w:highlight w:val="none"/>
          <w:lang w:val="en-US" w:eastAsia="zh-CN"/>
        </w:rPr>
        <w:t>项目绩效自评报告</w:t>
      </w:r>
    </w:p>
    <w:p>
      <w:pPr>
        <w:pageBreakBefore w:val="0"/>
        <w:kinsoku/>
        <w:wordWrap/>
        <w:overflowPunct/>
        <w:topLinePunct w:val="0"/>
        <w:bidi w:val="0"/>
        <w:spacing w:line="576" w:lineRule="exact"/>
        <w:jc w:val="center"/>
        <w:textAlignment w:val="auto"/>
        <w:outlineLvl w:val="0"/>
        <w:rPr>
          <w:rStyle w:val="30"/>
          <w:rFonts w:hint="default" w:ascii="黑体" w:hAnsi="黑体" w:eastAsia="黑体" w:cstheme="minorBidi"/>
          <w:b w:val="0"/>
          <w:color w:val="auto"/>
          <w:highlight w:val="none"/>
          <w:lang w:val="en-US" w:eastAsia="zh-CN"/>
        </w:rPr>
      </w:pPr>
      <w:r>
        <w:rPr>
          <w:rStyle w:val="30"/>
          <w:rFonts w:hint="default" w:ascii="黑体" w:hAnsi="黑体" w:eastAsia="黑体" w:cstheme="minorBidi"/>
          <w:b w:val="0"/>
          <w:color w:val="auto"/>
          <w:highlight w:val="none"/>
          <w:lang w:val="en-US" w:eastAsia="zh-CN"/>
        </w:rPr>
        <w:t xml:space="preserve">    </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一、</w:t>
      </w:r>
      <w:r>
        <w:rPr>
          <w:rFonts w:hint="default" w:ascii="黑体" w:hAnsi="黑体" w:eastAsia="黑体" w:cs="黑体"/>
          <w:color w:val="auto"/>
          <w:kern w:val="0"/>
          <w:sz w:val="32"/>
          <w:szCs w:val="32"/>
          <w:highlight w:val="none"/>
          <w:lang w:val="zh-CN" w:eastAsia="zh-CN" w:bidi="ar-SA"/>
        </w:rPr>
        <w:t>项目概况</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eastAsia" w:ascii="仿宋_GB2312" w:hAnsi="仿宋_GB2312" w:eastAsia="仿宋_GB2312" w:cs="仿宋_GB2312"/>
          <w:sz w:val="32"/>
          <w:szCs w:val="32"/>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一</w:t>
      </w:r>
      <w:r>
        <w:rPr>
          <w:rFonts w:hint="default" w:ascii="仿宋" w:hAnsi="仿宋" w:eastAsia="仿宋" w:cs="Times New Roman"/>
          <w:b/>
          <w:color w:val="auto"/>
          <w:sz w:val="32"/>
          <w:szCs w:val="32"/>
          <w:highlight w:val="none"/>
          <w:lang w:val="zh-CN" w:eastAsia="zh-CN"/>
        </w:rPr>
        <w:t>）项目</w:t>
      </w:r>
      <w:r>
        <w:rPr>
          <w:rFonts w:hint="eastAsia" w:ascii="仿宋" w:hAnsi="仿宋" w:eastAsia="仿宋" w:cs="Times New Roman"/>
          <w:b/>
          <w:color w:val="auto"/>
          <w:sz w:val="32"/>
          <w:szCs w:val="32"/>
          <w:highlight w:val="none"/>
          <w:lang w:val="en-US" w:eastAsia="zh-CN"/>
        </w:rPr>
        <w:t>基本情况</w:t>
      </w:r>
      <w:r>
        <w:rPr>
          <w:rFonts w:hint="default" w:ascii="仿宋" w:hAnsi="仿宋" w:eastAsia="仿宋" w:cs="Times New Roman"/>
          <w:b/>
          <w:color w:val="auto"/>
          <w:sz w:val="32"/>
          <w:szCs w:val="32"/>
          <w:highlight w:val="none"/>
          <w:lang w:val="zh-CN" w:eastAsia="zh-CN"/>
        </w:rPr>
        <w:t>。</w:t>
      </w:r>
      <w:r>
        <w:rPr>
          <w:rFonts w:hint="eastAsia" w:ascii="仿宋_GB2312" w:hAnsi="仿宋_GB2312" w:eastAsia="仿宋_GB2312" w:cs="仿宋_GB2312"/>
          <w:sz w:val="32"/>
          <w:szCs w:val="32"/>
          <w:lang w:val="zh-CN" w:eastAsia="zh-CN"/>
        </w:rPr>
        <w:t>加强驻村第一书记和工作队员管理，巩固拓展脱贫攻坚成果。为了乡村振兴工作有序开展，防止返贫动态监测，从各级党政机关、人民团体、事业单位等 ，选派</w:t>
      </w:r>
      <w:r>
        <w:rPr>
          <w:rFonts w:hint="eastAsia" w:ascii="仿宋_GB2312" w:hAnsi="仿宋_GB2312" w:eastAsia="仿宋_GB2312" w:cs="仿宋_GB2312"/>
          <w:sz w:val="32"/>
          <w:szCs w:val="32"/>
          <w:lang w:val="en-US" w:eastAsia="zh-CN"/>
        </w:rPr>
        <w:t>8个工作队共计24人</w:t>
      </w:r>
      <w:r>
        <w:rPr>
          <w:rFonts w:hint="eastAsia" w:ascii="仿宋_GB2312" w:hAnsi="仿宋_GB2312" w:eastAsia="仿宋_GB2312" w:cs="仿宋_GB2312"/>
          <w:sz w:val="32"/>
          <w:szCs w:val="32"/>
          <w:lang w:val="zh-CN" w:eastAsia="zh-CN"/>
        </w:rPr>
        <w:t>担任驻村第一书记和工作队员。</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default" w:ascii="仿宋_GB2312" w:hAnsi="仿宋_GB2312" w:eastAsia="仿宋_GB2312" w:cs="仿宋_GB2312"/>
          <w:sz w:val="32"/>
          <w:szCs w:val="32"/>
          <w:lang w:val="en-US"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）项目绩效目标。</w:t>
      </w:r>
      <w:r>
        <w:rPr>
          <w:rFonts w:hint="eastAsia" w:ascii="仿宋_GB2312" w:hAnsi="仿宋_GB2312" w:eastAsia="仿宋_GB2312" w:cs="仿宋_GB2312"/>
          <w:sz w:val="32"/>
          <w:szCs w:val="32"/>
          <w:lang w:val="en-US" w:eastAsia="zh-CN"/>
        </w:rPr>
        <w:t>驻村工作队工作经费8个工作队24人，每人5000元，总资金12万元，由上级公共财政补助安排，属于一次性项目，主要用于第一书记和工作队经费，日常工作运转以及报销驻村期间因公产生的差旅费等。</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）自评步骤及方法</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村、社区居民建议意见，做好自评工作。</w:t>
      </w:r>
      <w:r>
        <w:rPr>
          <w:rFonts w:hint="eastAsia" w:ascii="仿宋_GB2312" w:hAnsi="仿宋_GB2312" w:eastAsia="仿宋_GB2312" w:cs="仿宋_GB2312"/>
          <w:sz w:val="32"/>
          <w:szCs w:val="32"/>
          <w:lang w:val="zh-CN" w:eastAsia="zh-CN"/>
        </w:rPr>
        <w:t>并对照年初预算的绩效目标使用《广元市昭化区财政项目（政策）支出绩效自评表》进行打分，出具评价结果并提交绩效</w:t>
      </w:r>
      <w:r>
        <w:rPr>
          <w:rFonts w:hint="eastAsia" w:ascii="仿宋_GB2312" w:hAnsi="仿宋_GB2312" w:eastAsia="仿宋_GB2312" w:cs="仿宋_GB2312"/>
          <w:sz w:val="32"/>
          <w:szCs w:val="32"/>
          <w:lang w:val="en-US" w:eastAsia="zh-CN"/>
        </w:rPr>
        <w:t>自评</w:t>
      </w:r>
      <w:r>
        <w:rPr>
          <w:rFonts w:hint="eastAsia" w:ascii="仿宋_GB2312" w:hAnsi="仿宋_GB2312" w:eastAsia="仿宋_GB2312" w:cs="仿宋_GB2312"/>
          <w:sz w:val="32"/>
          <w:szCs w:val="32"/>
          <w:lang w:val="zh-CN" w:eastAsia="zh-CN"/>
        </w:rPr>
        <w:t>报告等程序进行。</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二、项目</w:t>
      </w:r>
      <w:r>
        <w:rPr>
          <w:rFonts w:hint="eastAsia" w:ascii="黑体" w:hAnsi="黑体" w:eastAsia="黑体" w:cs="黑体"/>
          <w:color w:val="auto"/>
          <w:kern w:val="0"/>
          <w:sz w:val="32"/>
          <w:szCs w:val="32"/>
          <w:highlight w:val="none"/>
          <w:lang w:val="en-US" w:eastAsia="zh-CN" w:bidi="ar-SA"/>
        </w:rPr>
        <w:t>资金申报及使用情况</w:t>
      </w:r>
    </w:p>
    <w:p>
      <w:pPr>
        <w:pageBreakBefore w:val="0"/>
        <w:kinsoku/>
        <w:wordWrap/>
        <w:overflowPunct/>
        <w:topLinePunct w:val="0"/>
        <w:autoSpaceDE w:val="0"/>
        <w:autoSpaceDN w:val="0"/>
        <w:bidi w:val="0"/>
        <w:adjustRightInd w:val="0"/>
        <w:spacing w:line="576" w:lineRule="exact"/>
        <w:ind w:firstLine="642" w:firstLineChars="200"/>
        <w:jc w:val="left"/>
        <w:textAlignment w:val="auto"/>
        <w:outlineLvl w:val="2"/>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（一）项目资金申报及批复情况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关于下达2022年驻村工作队工作经费</w:t>
      </w:r>
      <w:r>
        <w:rPr>
          <w:rFonts w:hint="eastAsia" w:ascii="仿宋_GB2312" w:hAnsi="仿宋_GB2312" w:eastAsia="仿宋_GB2312" w:cs="仿宋_GB2312"/>
          <w:sz w:val="32"/>
          <w:szCs w:val="32"/>
          <w:lang w:val="zh-CN" w:eastAsia="zh-CN"/>
        </w:rPr>
        <w:t>项目预算</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val="zh-CN" w:eastAsia="zh-CN"/>
        </w:rPr>
        <w:t>万元，区财政批复预</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val="zh-CN" w:eastAsia="zh-CN"/>
        </w:rPr>
        <w:t>万元，下达资金</w:t>
      </w:r>
      <w:r>
        <w:rPr>
          <w:rFonts w:hint="eastAsia" w:ascii="仿宋_GB2312" w:hAnsi="仿宋_GB2312" w:eastAsia="仿宋_GB2312" w:cs="仿宋_GB2312"/>
          <w:sz w:val="32"/>
          <w:szCs w:val="32"/>
          <w:lang w:val="en-US" w:eastAsia="zh-CN"/>
        </w:rPr>
        <w:t>12万元，资金到位率100%。支付依据符合相关规定，项目资金支付与预算申请相符合。</w:t>
      </w:r>
    </w:p>
    <w:p>
      <w:pPr>
        <w:pageBreakBefore w:val="0"/>
        <w:kinsoku/>
        <w:wordWrap/>
        <w:overflowPunct/>
        <w:topLinePunct w:val="0"/>
        <w:autoSpaceDE w:val="0"/>
        <w:autoSpaceDN w:val="0"/>
        <w:bidi w:val="0"/>
        <w:adjustRightInd w:val="0"/>
        <w:spacing w:line="576" w:lineRule="exact"/>
        <w:ind w:firstLine="642"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项目计划、到位及使用</w:t>
      </w:r>
      <w:r>
        <w:rPr>
          <w:rFonts w:hint="default" w:ascii="仿宋" w:hAnsi="仿宋" w:eastAsia="仿宋" w:cs="Times New Roman"/>
          <w:b/>
          <w:color w:val="auto"/>
          <w:sz w:val="32"/>
          <w:szCs w:val="32"/>
          <w:highlight w:val="none"/>
          <w:lang w:val="zh-CN" w:eastAsia="zh-CN"/>
        </w:rPr>
        <w:t>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1．资金计划。</w:t>
      </w:r>
      <w:r>
        <w:rPr>
          <w:rFonts w:hint="eastAsia" w:ascii="仿宋_GB2312" w:hAnsi="仿宋_GB2312" w:eastAsia="仿宋_GB2312" w:cs="仿宋_GB2312"/>
          <w:sz w:val="32"/>
          <w:szCs w:val="32"/>
          <w:lang w:val="en-US" w:eastAsia="zh-CN"/>
        </w:rPr>
        <w:t>该</w:t>
      </w:r>
      <w:r>
        <w:rPr>
          <w:rFonts w:hint="eastAsia" w:ascii="仿宋_GB2312" w:hAnsi="仿宋_GB2312" w:eastAsia="仿宋_GB2312" w:cs="仿宋_GB2312"/>
          <w:sz w:val="32"/>
          <w:szCs w:val="32"/>
          <w:lang w:val="zh-CN" w:eastAsia="zh-CN"/>
        </w:rPr>
        <w:t>项目资金来源为财政拨款，总投入为</w:t>
      </w:r>
      <w:r>
        <w:rPr>
          <w:rFonts w:hint="eastAsia" w:ascii="仿宋_GB2312" w:hAnsi="仿宋_GB2312" w:eastAsia="仿宋_GB2312" w:cs="仿宋_GB2312"/>
          <w:sz w:val="32"/>
          <w:szCs w:val="32"/>
          <w:lang w:val="en-US" w:eastAsia="zh-CN"/>
        </w:rPr>
        <w:t>12万元，资金于2022年全部到位。</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2．资金到位。截止评价时点，该项目</w:t>
      </w:r>
      <w:r>
        <w:rPr>
          <w:rFonts w:hint="eastAsia" w:ascii="仿宋_GB2312" w:hAnsi="仿宋_GB2312" w:eastAsia="仿宋_GB2312" w:cs="仿宋_GB2312"/>
          <w:sz w:val="32"/>
          <w:szCs w:val="32"/>
          <w:lang w:val="en-US" w:eastAsia="zh-CN"/>
        </w:rPr>
        <w:t>资金全部到位，资金到位率100%。</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3．资金使用。截止评价时点，该项目</w:t>
      </w:r>
      <w:r>
        <w:rPr>
          <w:rFonts w:hint="eastAsia" w:ascii="仿宋_GB2312" w:hAnsi="仿宋_GB2312" w:eastAsia="仿宋_GB2312" w:cs="仿宋_GB2312"/>
          <w:sz w:val="32"/>
          <w:szCs w:val="32"/>
          <w:lang w:val="en-US" w:eastAsia="zh-CN"/>
        </w:rPr>
        <w:t>已支付，资金使用率100%。，</w:t>
      </w:r>
      <w:r>
        <w:rPr>
          <w:rFonts w:hint="eastAsia" w:ascii="仿宋_GB2312" w:hAnsi="仿宋_GB2312" w:eastAsia="仿宋_GB2312" w:cs="仿宋_GB2312"/>
          <w:sz w:val="32"/>
          <w:szCs w:val="32"/>
          <w:lang w:val="zh-CN" w:eastAsia="zh-CN"/>
        </w:rPr>
        <w:t>资金使用</w:t>
      </w:r>
      <w:r>
        <w:rPr>
          <w:rFonts w:hint="eastAsia" w:ascii="仿宋_GB2312" w:hAnsi="仿宋_GB2312" w:eastAsia="仿宋_GB2312" w:cs="仿宋_GB2312"/>
          <w:sz w:val="32"/>
          <w:szCs w:val="32"/>
          <w:lang w:val="en-US" w:eastAsia="zh-CN"/>
        </w:rPr>
        <w:t>具有</w:t>
      </w:r>
      <w:r>
        <w:rPr>
          <w:rFonts w:hint="eastAsia" w:ascii="仿宋_GB2312" w:hAnsi="仿宋_GB2312" w:eastAsia="仿宋_GB2312" w:cs="仿宋_GB2312"/>
          <w:sz w:val="32"/>
          <w:szCs w:val="32"/>
          <w:lang w:val="zh-CN" w:eastAsia="zh-CN"/>
        </w:rPr>
        <w:t>安全性、规范性、有效性，</w:t>
      </w:r>
      <w:r>
        <w:rPr>
          <w:rFonts w:hint="eastAsia" w:ascii="仿宋_GB2312" w:hAnsi="仿宋_GB2312" w:eastAsia="仿宋_GB2312" w:cs="仿宋_GB2312"/>
          <w:sz w:val="32"/>
          <w:szCs w:val="32"/>
          <w:lang w:val="en-US" w:eastAsia="zh-CN"/>
        </w:rPr>
        <w:t>严格按照</w:t>
      </w:r>
      <w:r>
        <w:rPr>
          <w:rFonts w:hint="eastAsia" w:ascii="仿宋_GB2312" w:hAnsi="仿宋_GB2312" w:eastAsia="仿宋_GB2312" w:cs="仿宋_GB2312"/>
          <w:sz w:val="32"/>
          <w:szCs w:val="32"/>
          <w:lang w:val="zh-CN" w:eastAsia="zh-CN"/>
        </w:rPr>
        <w:t>资金支付范围、支付标准</w:t>
      </w:r>
      <w:r>
        <w:rPr>
          <w:rFonts w:hint="eastAsia" w:ascii="仿宋_GB2312" w:hAnsi="仿宋_GB2312" w:eastAsia="仿宋_GB2312" w:cs="仿宋_GB2312"/>
          <w:sz w:val="32"/>
          <w:szCs w:val="32"/>
          <w:lang w:val="en-US" w:eastAsia="zh-CN"/>
        </w:rPr>
        <w:t>进行支付，</w:t>
      </w:r>
      <w:r>
        <w:rPr>
          <w:rFonts w:hint="eastAsia" w:ascii="仿宋_GB2312" w:hAnsi="仿宋_GB2312" w:eastAsia="仿宋_GB2312" w:cs="仿宋_GB2312"/>
          <w:sz w:val="32"/>
          <w:szCs w:val="32"/>
          <w:lang w:val="zh-CN" w:eastAsia="zh-CN"/>
        </w:rPr>
        <w:t>支付进度、支付依据合规合法、与预算相符。</w:t>
      </w:r>
    </w:p>
    <w:p>
      <w:pPr>
        <w:pageBreakBefore w:val="0"/>
        <w:kinsoku/>
        <w:wordWrap/>
        <w:overflowPunct/>
        <w:topLinePunct w:val="0"/>
        <w:autoSpaceDE w:val="0"/>
        <w:autoSpaceDN w:val="0"/>
        <w:bidi w:val="0"/>
        <w:adjustRightInd w:val="0"/>
        <w:spacing w:line="576" w:lineRule="exact"/>
        <w:ind w:firstLine="642"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default" w:ascii="仿宋" w:hAnsi="仿宋" w:eastAsia="仿宋" w:cs="Times New Roman"/>
          <w:b/>
          <w:color w:val="auto"/>
          <w:sz w:val="32"/>
          <w:szCs w:val="32"/>
          <w:highlight w:val="none"/>
          <w:lang w:val="zh-CN" w:eastAsia="zh-CN"/>
        </w:rPr>
        <w:t>）项目财务管理情况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下达2022年驻村工作度工作经费项目资金采取财政直接支付形式，由镇相关部门组织申报材料，形成项目专项资金申请报告报送财务部门，由财政所根据项目进度，严格按照项目资金管理办法对资金进行计划申请、划拨至所提供的个人指定账户，及时、规范对收支进行账务处理和会计核算。对项目资金坚持专款专用、量入为出的原则，并建立好项目专项资金使用台账，加强项目专项资金的财务管理及使用监督管理。</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default" w:ascii="黑体" w:hAnsi="黑体" w:eastAsia="黑体" w:cs="黑体"/>
          <w:color w:val="auto"/>
          <w:kern w:val="0"/>
          <w:sz w:val="32"/>
          <w:szCs w:val="32"/>
          <w:highlight w:val="none"/>
          <w:lang w:val="en-US" w:eastAsia="zh-CN" w:bidi="ar-SA"/>
        </w:rPr>
        <w:t>三、项目</w:t>
      </w:r>
      <w:r>
        <w:rPr>
          <w:rFonts w:hint="eastAsia" w:ascii="黑体" w:hAnsi="黑体" w:eastAsia="黑体" w:cs="黑体"/>
          <w:color w:val="auto"/>
          <w:kern w:val="0"/>
          <w:sz w:val="32"/>
          <w:szCs w:val="32"/>
          <w:highlight w:val="none"/>
          <w:lang w:val="en-US" w:eastAsia="zh-CN" w:bidi="ar-SA"/>
        </w:rPr>
        <w:t>实施及管理情况</w:t>
      </w:r>
      <w:r>
        <w:rPr>
          <w:rFonts w:hint="default" w:ascii="黑体" w:hAnsi="黑体" w:eastAsia="黑体" w:cs="黑体"/>
          <w:color w:val="auto"/>
          <w:kern w:val="0"/>
          <w:sz w:val="32"/>
          <w:szCs w:val="32"/>
          <w:highlight w:val="none"/>
          <w:lang w:val="zh-CN" w:eastAsia="zh-CN" w:bidi="ar-SA"/>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仿宋_GB2312" w:hAnsi="仿宋_GB2312" w:eastAsia="仿宋_GB2312" w:cs="仿宋_GB2312"/>
          <w:sz w:val="32"/>
          <w:szCs w:val="32"/>
          <w:lang w:val="zh-CN" w:eastAsia="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一</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项目组织架构及实施流程。</w:t>
      </w:r>
      <w:r>
        <w:rPr>
          <w:rFonts w:hint="eastAsia" w:ascii="仿宋_GB2312" w:hAnsi="仿宋_GB2312" w:eastAsia="仿宋_GB2312" w:cs="仿宋_GB2312"/>
          <w:sz w:val="32"/>
          <w:szCs w:val="32"/>
          <w:lang w:val="zh-CN" w:eastAsia="zh-CN"/>
        </w:rPr>
        <w:t>镇党委政府高度重视</w:t>
      </w:r>
      <w:r>
        <w:rPr>
          <w:rFonts w:hint="eastAsia" w:ascii="仿宋_GB2312" w:hAnsi="仿宋_GB2312" w:eastAsia="仿宋_GB2312" w:cs="仿宋_GB2312"/>
          <w:sz w:val="32"/>
          <w:szCs w:val="32"/>
          <w:lang w:val="en-US" w:eastAsia="zh-CN"/>
        </w:rPr>
        <w:t>关于下达驻村工作队工作经费项目</w:t>
      </w:r>
      <w:r>
        <w:rPr>
          <w:rFonts w:hint="eastAsia" w:ascii="仿宋_GB2312" w:hAnsi="仿宋_GB2312" w:eastAsia="仿宋_GB2312" w:cs="仿宋_GB2312"/>
          <w:sz w:val="32"/>
          <w:szCs w:val="32"/>
          <w:lang w:val="zh-CN" w:eastAsia="zh-CN"/>
        </w:rPr>
        <w:t>，并成立工作领导小组。以镇党委副书记、镇长为组长，</w:t>
      </w:r>
      <w:r>
        <w:rPr>
          <w:rFonts w:hint="eastAsia" w:ascii="仿宋_GB2312" w:hAnsi="仿宋_GB2312" w:eastAsia="仿宋_GB2312" w:cs="仿宋_GB2312"/>
          <w:sz w:val="32"/>
          <w:szCs w:val="32"/>
          <w:lang w:val="en-US" w:eastAsia="zh-CN"/>
        </w:rPr>
        <w:t>党委副书记</w:t>
      </w:r>
      <w:r>
        <w:rPr>
          <w:rFonts w:hint="eastAsia" w:ascii="仿宋_GB2312" w:hAnsi="仿宋_GB2312" w:eastAsia="仿宋_GB2312" w:cs="仿宋_GB2312"/>
          <w:sz w:val="32"/>
          <w:szCs w:val="32"/>
          <w:lang w:val="zh-CN" w:eastAsia="zh-CN"/>
        </w:rPr>
        <w:t>为副组长，</w:t>
      </w:r>
      <w:r>
        <w:rPr>
          <w:rFonts w:hint="eastAsia" w:ascii="仿宋_GB2312" w:hAnsi="仿宋_GB2312" w:eastAsia="仿宋_GB2312" w:cs="仿宋_GB2312"/>
          <w:sz w:val="32"/>
          <w:szCs w:val="32"/>
          <w:lang w:val="en-US" w:eastAsia="zh-CN"/>
        </w:rPr>
        <w:t>相关站所负责人</w:t>
      </w:r>
      <w:r>
        <w:rPr>
          <w:rFonts w:hint="eastAsia" w:ascii="仿宋_GB2312" w:hAnsi="仿宋_GB2312" w:eastAsia="仿宋_GB2312" w:cs="仿宋_GB2312"/>
          <w:sz w:val="32"/>
          <w:szCs w:val="32"/>
          <w:lang w:val="zh-CN" w:eastAsia="zh-CN"/>
        </w:rPr>
        <w:t>为成员。抓牢抓实此项目的实施。</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Times New Roman" w:hAnsi="Times New Roman" w:eastAsia="仿宋_GB2312" w:cs="仿宋_GB2312"/>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项目管理情况。</w:t>
      </w:r>
      <w:r>
        <w:rPr>
          <w:rFonts w:hint="eastAsia" w:ascii="仿宋_GB2312" w:hAnsi="仿宋_GB2312" w:eastAsia="仿宋_GB2312" w:cs="仿宋_GB2312"/>
          <w:sz w:val="32"/>
          <w:szCs w:val="32"/>
          <w:lang w:val="zh-CN" w:eastAsia="zh-CN"/>
        </w:rPr>
        <w:t>项目资金由镇财政所具体管理，按投资计划，制定管理制度，对项目资金按项目单独核算实行“专款专用、专人管理”，不</w:t>
      </w:r>
      <w:r>
        <w:rPr>
          <w:rFonts w:hint="eastAsia" w:ascii="仿宋_GB2312" w:hAnsi="仿宋_GB2312" w:eastAsia="仿宋_GB2312" w:cs="仿宋_GB2312"/>
          <w:sz w:val="32"/>
          <w:szCs w:val="32"/>
          <w:lang w:val="en-US" w:eastAsia="zh-CN"/>
        </w:rPr>
        <w:t>存在</w:t>
      </w:r>
      <w:r>
        <w:rPr>
          <w:rFonts w:hint="eastAsia" w:ascii="仿宋_GB2312" w:hAnsi="仿宋_GB2312" w:eastAsia="仿宋_GB2312" w:cs="仿宋_GB2312"/>
          <w:sz w:val="32"/>
          <w:szCs w:val="32"/>
          <w:lang w:val="zh-CN" w:eastAsia="zh-CN"/>
        </w:rPr>
        <w:t>挤占挪用项目资金。</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default" w:ascii="黑体" w:hAnsi="黑体" w:eastAsia="黑体" w:cs="黑体"/>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项目监管情况。</w:t>
      </w:r>
      <w:r>
        <w:rPr>
          <w:rFonts w:hint="eastAsia" w:ascii="仿宋_GB2312" w:hAnsi="仿宋_GB2312" w:eastAsia="仿宋_GB2312" w:cs="仿宋_GB2312"/>
          <w:sz w:val="32"/>
          <w:szCs w:val="32"/>
          <w:lang w:val="zh-CN" w:eastAsia="zh-CN"/>
        </w:rPr>
        <w:t>项目的正常实施监督检查是保障。我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val="zh-CN" w:eastAsia="zh-CN"/>
        </w:rPr>
        <w:t>定期或不定期对项目进行现场检查和督查，确保项目建设质量。</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四</w:t>
      </w:r>
      <w:r>
        <w:rPr>
          <w:rFonts w:hint="default" w:ascii="黑体" w:hAnsi="黑体" w:eastAsia="黑体" w:cs="黑体"/>
          <w:color w:val="auto"/>
          <w:kern w:val="0"/>
          <w:sz w:val="32"/>
          <w:szCs w:val="32"/>
          <w:highlight w:val="none"/>
          <w:lang w:val="en-US" w:eastAsia="zh-CN" w:bidi="ar-SA"/>
        </w:rPr>
        <w:t>、项目绩效情况</w:t>
      </w:r>
      <w:r>
        <w:rPr>
          <w:rFonts w:hint="default" w:ascii="黑体" w:hAnsi="黑体" w:eastAsia="黑体" w:cs="黑体"/>
          <w:color w:val="auto"/>
          <w:kern w:val="0"/>
          <w:sz w:val="32"/>
          <w:szCs w:val="32"/>
          <w:highlight w:val="none"/>
          <w:lang w:val="zh-CN" w:eastAsia="zh-CN" w:bidi="ar-SA"/>
        </w:rPr>
        <w:tab/>
      </w:r>
    </w:p>
    <w:p>
      <w:pPr>
        <w:pageBreakBefore w:val="0"/>
        <w:kinsoku/>
        <w:wordWrap/>
        <w:overflowPunct/>
        <w:topLinePunct w:val="0"/>
        <w:autoSpaceDE w:val="0"/>
        <w:autoSpaceDN w:val="0"/>
        <w:bidi w:val="0"/>
        <w:adjustRightInd w:val="0"/>
        <w:spacing w:line="576" w:lineRule="exact"/>
        <w:ind w:firstLine="642"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（一）项目完成情况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镇党委政府</w:t>
      </w:r>
      <w:r>
        <w:rPr>
          <w:rFonts w:hint="eastAsia" w:ascii="仿宋_GB2312" w:hAnsi="仿宋_GB2312" w:eastAsia="仿宋_GB2312" w:cs="仿宋_GB2312"/>
          <w:sz w:val="32"/>
          <w:szCs w:val="32"/>
          <w:lang w:val="en-US" w:eastAsia="zh-CN"/>
        </w:rPr>
        <w:t>高度重视关于下达2022年驻村工作队工作经费</w:t>
      </w:r>
      <w:r>
        <w:rPr>
          <w:rFonts w:hint="eastAsia" w:ascii="仿宋_GB2312" w:hAnsi="仿宋_GB2312" w:eastAsia="仿宋_GB2312" w:cs="仿宋_GB2312"/>
          <w:sz w:val="32"/>
          <w:szCs w:val="32"/>
          <w:lang w:val="zh-CN" w:eastAsia="zh-CN"/>
        </w:rPr>
        <w:t>项目，</w:t>
      </w:r>
      <w:r>
        <w:rPr>
          <w:rFonts w:hint="eastAsia" w:ascii="仿宋_GB2312" w:hAnsi="仿宋_GB2312" w:eastAsia="仿宋_GB2312" w:cs="仿宋_GB2312"/>
          <w:sz w:val="32"/>
          <w:szCs w:val="32"/>
          <w:lang w:val="en-US" w:eastAsia="zh-CN"/>
        </w:rPr>
        <w:t>按照质量标准、经济成本指标、社会效益指标、帮扶对象满意度指标，完成了驻村工作队成员24人的考察调研、驻村日常工作运转及报销驻村期间因公产生的差旅费等。</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（二）项目效益情况。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镇党委政府</w:t>
      </w:r>
      <w:r>
        <w:rPr>
          <w:rFonts w:hint="eastAsia" w:ascii="仿宋_GB2312" w:hAnsi="仿宋_GB2312" w:eastAsia="仿宋_GB2312" w:cs="仿宋_GB2312"/>
          <w:sz w:val="32"/>
          <w:szCs w:val="32"/>
          <w:lang w:val="en-US" w:eastAsia="zh-CN"/>
        </w:rPr>
        <w:t>高度重视关于下达2022年驻村工作队作经费</w:t>
      </w:r>
      <w:r>
        <w:rPr>
          <w:rFonts w:hint="eastAsia" w:ascii="仿宋_GB2312" w:hAnsi="仿宋_GB2312" w:eastAsia="仿宋_GB2312" w:cs="仿宋_GB2312"/>
          <w:sz w:val="32"/>
          <w:szCs w:val="32"/>
          <w:lang w:val="zh-CN" w:eastAsia="zh-CN"/>
        </w:rPr>
        <w:t>项目，</w:t>
      </w:r>
      <w:r>
        <w:rPr>
          <w:rFonts w:hint="eastAsia" w:ascii="仿宋_GB2312" w:hAnsi="仿宋_GB2312" w:eastAsia="仿宋_GB2312" w:cs="仿宋_GB2312"/>
          <w:sz w:val="32"/>
          <w:szCs w:val="32"/>
          <w:lang w:val="en-US" w:eastAsia="zh-CN"/>
        </w:rPr>
        <w:t>按照质量标准、经济成本指标、社会效益指标、帮扶对象满意度指标，完成了8个村驻村工作队成员24人的考察调研、驻村日常工作运转及报销驻村期间因公产生的差旅费等；完成了8个村的帮扶，帮扶对象满意度达95%。</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五</w:t>
      </w:r>
      <w:r>
        <w:rPr>
          <w:rFonts w:hint="default" w:ascii="黑体" w:hAnsi="黑体" w:eastAsia="黑体" w:cs="黑体"/>
          <w:color w:val="auto"/>
          <w:kern w:val="0"/>
          <w:sz w:val="32"/>
          <w:szCs w:val="32"/>
          <w:highlight w:val="none"/>
          <w:lang w:val="en-US" w:eastAsia="zh-CN" w:bidi="ar-SA"/>
        </w:rPr>
        <w:t>、</w:t>
      </w:r>
      <w:r>
        <w:rPr>
          <w:rFonts w:hint="eastAsia" w:ascii="黑体" w:hAnsi="黑体" w:eastAsia="黑体" w:cs="黑体"/>
          <w:color w:val="auto"/>
          <w:kern w:val="0"/>
          <w:sz w:val="32"/>
          <w:szCs w:val="32"/>
          <w:highlight w:val="none"/>
          <w:lang w:val="en-US" w:eastAsia="zh-CN" w:bidi="ar-SA"/>
        </w:rPr>
        <w:t>自评结论及</w:t>
      </w:r>
      <w:r>
        <w:rPr>
          <w:rFonts w:hint="default" w:ascii="黑体" w:hAnsi="黑体" w:eastAsia="黑体" w:cs="黑体"/>
          <w:color w:val="auto"/>
          <w:kern w:val="0"/>
          <w:sz w:val="32"/>
          <w:szCs w:val="32"/>
          <w:highlight w:val="none"/>
          <w:lang w:val="en-US" w:eastAsia="zh-CN" w:bidi="ar-SA"/>
        </w:rPr>
        <w:t>建议</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Times New Roman"/>
          <w:b/>
          <w:color w:val="auto"/>
          <w:sz w:val="32"/>
          <w:szCs w:val="32"/>
          <w:highlight w:val="none"/>
          <w:lang w:val="zh-CN" w:eastAsia="zh-CN"/>
        </w:rPr>
        <w:t>（一）评价结论。</w:t>
      </w:r>
      <w:r>
        <w:rPr>
          <w:rFonts w:hint="eastAsia" w:ascii="仿宋_GB2312" w:hAnsi="仿宋_GB2312" w:eastAsia="仿宋_GB2312" w:cs="仿宋_GB2312"/>
          <w:sz w:val="32"/>
          <w:szCs w:val="32"/>
          <w:lang w:val="zh-CN" w:eastAsia="zh-CN"/>
        </w:rPr>
        <w:t>根据项目决策、管理和绩效方面分析，我镇</w:t>
      </w:r>
      <w:r>
        <w:rPr>
          <w:rFonts w:hint="eastAsia" w:ascii="仿宋_GB2312" w:hAnsi="仿宋_GB2312" w:eastAsia="仿宋_GB2312" w:cs="仿宋_GB2312"/>
          <w:sz w:val="32"/>
          <w:szCs w:val="32"/>
          <w:lang w:val="en-US" w:eastAsia="zh-CN"/>
        </w:rPr>
        <w:t>2022年关于下达2022年驻村工作队工作经费</w:t>
      </w:r>
      <w:r>
        <w:rPr>
          <w:rFonts w:hint="eastAsia" w:ascii="仿宋_GB2312" w:hAnsi="仿宋_GB2312" w:eastAsia="仿宋_GB2312" w:cs="仿宋_GB2312"/>
          <w:sz w:val="32"/>
          <w:szCs w:val="32"/>
          <w:lang w:val="zh-CN" w:eastAsia="zh-CN"/>
        </w:rPr>
        <w:t>项目保障了驻村工作队工作正常运转</w:t>
      </w:r>
      <w:r>
        <w:rPr>
          <w:rFonts w:hint="eastAsia" w:ascii="仿宋_GB2312" w:hAnsi="仿宋_GB2312" w:eastAsia="仿宋_GB2312" w:cs="仿宋_GB2312"/>
          <w:sz w:val="32"/>
          <w:szCs w:val="32"/>
          <w:lang w:val="en-US" w:eastAsia="zh-CN"/>
        </w:rPr>
        <w:t>，我按照《广元市昭化区人民政府办公室关于印发&lt;广元市昭化区财政支出事后绩效评价管理办法&gt;的通知》(昭府办函[2022]37号)绩效评价指标体系开展绩效评价</w:t>
      </w:r>
      <w:r>
        <w:rPr>
          <w:rFonts w:hint="eastAsia" w:ascii="仿宋_GB2312" w:hAnsi="仿宋_GB2312" w:eastAsia="仿宋_GB2312" w:cs="仿宋_GB2312"/>
          <w:sz w:val="32"/>
          <w:szCs w:val="32"/>
          <w:lang w:val="zh-CN" w:eastAsia="zh-CN"/>
        </w:rPr>
        <w:t>，自评得分为</w:t>
      </w:r>
      <w:r>
        <w:rPr>
          <w:rFonts w:hint="eastAsia" w:ascii="仿宋_GB2312" w:hAnsi="仿宋_GB2312" w:eastAsia="仿宋_GB2312" w:cs="仿宋_GB2312"/>
          <w:sz w:val="32"/>
          <w:szCs w:val="32"/>
          <w:lang w:val="en-US" w:eastAsia="zh-CN"/>
        </w:rPr>
        <w:t>100分。</w:t>
      </w:r>
    </w:p>
    <w:p>
      <w:pPr>
        <w:pageBreakBefore w:val="0"/>
        <w:kinsoku/>
        <w:wordWrap/>
        <w:overflowPunct/>
        <w:topLinePunct w:val="0"/>
        <w:autoSpaceDE w:val="0"/>
        <w:autoSpaceDN w:val="0"/>
        <w:bidi w:val="0"/>
        <w:adjustRightInd w:val="0"/>
        <w:spacing w:line="576" w:lineRule="exact"/>
        <w:ind w:firstLine="642" w:firstLineChars="200"/>
        <w:jc w:val="left"/>
        <w:textAlignment w:val="auto"/>
        <w:outlineLvl w:val="2"/>
        <w:rPr>
          <w:rFonts w:hint="default"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（二）存在的问题。</w:t>
      </w:r>
      <w:r>
        <w:rPr>
          <w:rFonts w:hint="eastAsia" w:ascii="仿宋_GB2312" w:hAnsi="仿宋_GB2312" w:eastAsia="仿宋_GB2312" w:cs="仿宋_GB2312"/>
          <w:sz w:val="32"/>
          <w:szCs w:val="32"/>
          <w:lang w:val="en-US" w:eastAsia="zh-CN"/>
        </w:rPr>
        <w:t>项目资料审核较慢。</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eastAsia" w:ascii="仿宋_GB2312" w:hAnsi="仿宋_GB2312" w:eastAsia="仿宋_GB2312" w:cs="仿宋_GB2312"/>
          <w:sz w:val="32"/>
          <w:szCs w:val="32"/>
          <w:lang w:val="zh-CN" w:eastAsia="zh-CN"/>
        </w:rPr>
      </w:pPr>
      <w:r>
        <w:rPr>
          <w:rFonts w:hint="eastAsia" w:ascii="仿宋" w:hAnsi="仿宋" w:eastAsia="仿宋" w:cs="Times New Roman"/>
          <w:b/>
          <w:color w:val="auto"/>
          <w:sz w:val="32"/>
          <w:szCs w:val="32"/>
          <w:highlight w:val="none"/>
          <w:lang w:val="zh-CN" w:eastAsia="zh-CN"/>
        </w:rPr>
        <w:t>（三）相关建议。</w:t>
      </w:r>
      <w:r>
        <w:rPr>
          <w:rFonts w:hint="eastAsia" w:ascii="仿宋_GB2312" w:hAnsi="仿宋_GB2312" w:eastAsia="仿宋_GB2312" w:cs="仿宋_GB2312"/>
          <w:sz w:val="32"/>
          <w:szCs w:val="32"/>
          <w:lang w:val="zh-CN" w:eastAsia="zh-CN"/>
        </w:rPr>
        <w:t>加强该项目资金实施的事前、事中、事后监督，提高项目资金使用精准，加强项目资金的财务核算管理，</w:t>
      </w:r>
      <w:r>
        <w:rPr>
          <w:rFonts w:hint="eastAsia" w:ascii="仿宋_GB2312" w:hAnsi="仿宋_GB2312" w:eastAsia="仿宋_GB2312" w:cs="仿宋_GB2312"/>
          <w:sz w:val="32"/>
          <w:szCs w:val="32"/>
          <w:lang w:val="en-US" w:eastAsia="zh-CN"/>
        </w:rPr>
        <w:t>及时报送审核项目资料</w:t>
      </w:r>
      <w:r>
        <w:rPr>
          <w:rFonts w:hint="eastAsia" w:ascii="仿宋_GB2312" w:hAnsi="仿宋_GB2312" w:eastAsia="仿宋_GB2312" w:cs="仿宋_GB2312"/>
          <w:sz w:val="32"/>
          <w:szCs w:val="32"/>
          <w:lang w:val="zh-CN" w:eastAsia="zh-CN"/>
        </w:rPr>
        <w:t>。</w:t>
      </w:r>
    </w:p>
    <w:p>
      <w:pPr>
        <w:pStyle w:val="2"/>
        <w:rPr>
          <w:rFonts w:hint="eastAsia"/>
          <w:lang w:val="zh-CN" w:eastAsia="zh-CN"/>
        </w:rPr>
      </w:pPr>
    </w:p>
    <w:tbl>
      <w:tblPr>
        <w:tblStyle w:val="18"/>
        <w:tblW w:w="95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7"/>
        <w:gridCol w:w="792"/>
        <w:gridCol w:w="1067"/>
        <w:gridCol w:w="1077"/>
        <w:gridCol w:w="1232"/>
        <w:gridCol w:w="1662"/>
        <w:gridCol w:w="1555"/>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958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32"/>
                <w:szCs w:val="32"/>
                <w:u w:val="none"/>
                <w:lang w:val="en-US" w:eastAsia="zh-CN" w:bidi="ar"/>
              </w:rPr>
              <w:t>广元市昭化区</w:t>
            </w:r>
            <w:r>
              <w:rPr>
                <w:rFonts w:hint="eastAsia" w:ascii="方正小标宋简体" w:hAnsi="方正小标宋简体" w:eastAsia="方正小标宋简体" w:cs="方正小标宋简体"/>
                <w:i w:val="0"/>
                <w:iCs w:val="0"/>
                <w:color w:val="000000"/>
                <w:kern w:val="0"/>
                <w:sz w:val="32"/>
                <w:szCs w:val="32"/>
                <w:u w:val="none"/>
                <w:lang w:val="en-US" w:eastAsia="zh-CN" w:bidi="ar"/>
              </w:rPr>
              <w:t>2022年驻村工作队工作经费</w:t>
            </w:r>
            <w:r>
              <w:rPr>
                <w:rFonts w:hint="default" w:ascii="方正小标宋简体" w:hAnsi="方正小标宋简体" w:eastAsia="方正小标宋简体" w:cs="方正小标宋简体"/>
                <w:i w:val="0"/>
                <w:iCs w:val="0"/>
                <w:color w:val="000000"/>
                <w:kern w:val="0"/>
                <w:sz w:val="32"/>
                <w:szCs w:val="32"/>
                <w:u w:val="none"/>
                <w:lang w:val="en-US" w:eastAsia="zh-CN" w:bidi="ar"/>
              </w:rPr>
              <w:t>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58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78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关于下达2022</w:t>
            </w:r>
            <w:r>
              <w:rPr>
                <w:rFonts w:hint="eastAsia" w:ascii="宋体" w:hAnsi="宋体" w:cs="宋体"/>
                <w:i w:val="0"/>
                <w:iCs w:val="0"/>
                <w:color w:val="000000"/>
                <w:kern w:val="0"/>
                <w:sz w:val="20"/>
                <w:szCs w:val="20"/>
                <w:u w:val="none"/>
                <w:lang w:val="en-US" w:eastAsia="zh-CN" w:bidi="ar"/>
              </w:rPr>
              <w:t>年驻村工作队工作经费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4" w:hRule="atLeast"/>
        </w:trPr>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50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w:t>
            </w:r>
            <w:r>
              <w:rPr>
                <w:rFonts w:hint="eastAsia" w:ascii="宋体" w:hAnsi="宋体" w:cs="宋体"/>
                <w:i w:val="0"/>
                <w:iCs w:val="0"/>
                <w:color w:val="000000"/>
                <w:kern w:val="0"/>
                <w:sz w:val="18"/>
                <w:szCs w:val="18"/>
                <w:u w:val="none"/>
                <w:lang w:val="en-US" w:eastAsia="zh-CN" w:bidi="ar"/>
              </w:rPr>
              <w:t>卫子</w:t>
            </w:r>
            <w:r>
              <w:rPr>
                <w:rFonts w:hint="eastAsia" w:ascii="宋体" w:hAnsi="宋体" w:eastAsia="宋体" w:cs="宋体"/>
                <w:i w:val="0"/>
                <w:iCs w:val="0"/>
                <w:color w:val="000000"/>
                <w:kern w:val="0"/>
                <w:sz w:val="18"/>
                <w:szCs w:val="18"/>
                <w:u w:val="none"/>
                <w:lang w:val="en-US" w:eastAsia="zh-CN" w:bidi="ar"/>
              </w:rPr>
              <w:t>镇人民政府</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124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卫子</w:t>
            </w:r>
            <w:r>
              <w:rPr>
                <w:rFonts w:hint="eastAsia" w:ascii="宋体" w:hAnsi="宋体" w:eastAsia="宋体" w:cs="宋体"/>
                <w:i w:val="0"/>
                <w:iCs w:val="0"/>
                <w:color w:val="000000"/>
                <w:kern w:val="0"/>
                <w:sz w:val="18"/>
                <w:szCs w:val="18"/>
                <w:u w:val="none"/>
                <w:lang w:val="en-US" w:eastAsia="zh-CN" w:bidi="ar"/>
              </w:rPr>
              <w:t>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739"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144"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66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调整后预算数</w:t>
            </w:r>
          </w:p>
        </w:tc>
        <w:tc>
          <w:tcPr>
            <w:tcW w:w="15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12</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12</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12</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8"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12</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12</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4"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9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73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124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zh-CN" w:eastAsia="zh-CN" w:bidi="ar"/>
              </w:rPr>
              <w:t>加强驻村第一书记和工作队员管理，巩固拓展脱贫攻坚成果。为了乡村振兴工作有序开展，防止返贫动态监测，从各级党政机关、人民团体、事业单位等 ，选派</w:t>
            </w:r>
            <w:r>
              <w:rPr>
                <w:rFonts w:hint="eastAsia" w:ascii="宋体" w:hAnsi="宋体" w:eastAsia="宋体" w:cs="宋体"/>
                <w:i w:val="0"/>
                <w:iCs w:val="0"/>
                <w:color w:val="000000"/>
                <w:kern w:val="0"/>
                <w:sz w:val="18"/>
                <w:szCs w:val="18"/>
                <w:u w:val="none"/>
                <w:lang w:val="en-US" w:eastAsia="zh-CN" w:bidi="ar"/>
              </w:rPr>
              <w:t>8个工作队共计24人</w:t>
            </w:r>
            <w:r>
              <w:rPr>
                <w:rFonts w:hint="eastAsia" w:ascii="宋体" w:hAnsi="宋体" w:eastAsia="宋体" w:cs="宋体"/>
                <w:i w:val="0"/>
                <w:iCs w:val="0"/>
                <w:color w:val="000000"/>
                <w:kern w:val="0"/>
                <w:sz w:val="18"/>
                <w:szCs w:val="18"/>
                <w:u w:val="none"/>
                <w:lang w:val="zh-CN" w:eastAsia="zh-CN" w:bidi="ar"/>
              </w:rPr>
              <w:t>担任驻村第一书记和工作队员</w:t>
            </w:r>
            <w:r>
              <w:rPr>
                <w:rFonts w:hint="eastAsia" w:ascii="宋体" w:hAnsi="宋体" w:eastAsia="宋体" w:cs="宋体"/>
                <w:i w:val="0"/>
                <w:iCs w:val="0"/>
                <w:color w:val="000000"/>
                <w:kern w:val="0"/>
                <w:sz w:val="18"/>
                <w:szCs w:val="18"/>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Calibri" w:eastAsia="仿宋_GB2312" w:cs="仿宋"/>
                <w:color w:val="auto"/>
                <w:kern w:val="0"/>
                <w:sz w:val="16"/>
                <w:szCs w:val="16"/>
                <w:highlight w:val="none"/>
                <w:lang w:val="zh-CN" w:eastAsia="zh-CN" w:bidi="ar-SA"/>
              </w:rPr>
            </w:pPr>
            <w:r>
              <w:rPr>
                <w:rFonts w:hint="eastAsia" w:ascii="仿宋_GB2312" w:hAnsi="Calibri" w:eastAsia="仿宋_GB2312" w:cs="仿宋"/>
                <w:color w:val="auto"/>
                <w:kern w:val="0"/>
                <w:sz w:val="16"/>
                <w:szCs w:val="16"/>
                <w:highlight w:val="none"/>
                <w:lang w:val="zh-CN" w:eastAsia="zh-CN" w:bidi="ar-SA"/>
              </w:rPr>
              <w:t>全部完成</w:t>
            </w:r>
          </w:p>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947"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绩效指标</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二级指标</w:t>
            </w:r>
          </w:p>
        </w:tc>
        <w:tc>
          <w:tcPr>
            <w:tcW w:w="2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三级指标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指标值</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8"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产出</w:t>
            </w:r>
          </w:p>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指标</w:t>
            </w:r>
          </w:p>
        </w:tc>
        <w:tc>
          <w:tcPr>
            <w:tcW w:w="10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数</w:t>
            </w:r>
            <w:r>
              <w:rPr>
                <w:rFonts w:hint="eastAsia" w:ascii="宋体" w:hAnsi="宋体" w:eastAsia="宋体" w:cs="宋体"/>
                <w:i w:val="0"/>
                <w:iCs w:val="0"/>
                <w:color w:val="000000"/>
                <w:kern w:val="0"/>
                <w:sz w:val="20"/>
                <w:szCs w:val="20"/>
                <w:u w:val="none"/>
                <w:lang w:val="en-US" w:eastAsia="zh-CN" w:bidi="ar"/>
              </w:rPr>
              <w:t>量指标</w:t>
            </w:r>
          </w:p>
        </w:tc>
        <w:tc>
          <w:tcPr>
            <w:tcW w:w="2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驻村工作队人数</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=24人</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20"/>
                <w:szCs w:val="20"/>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效益指标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20"/>
                <w:szCs w:val="20"/>
                <w:u w:val="none"/>
                <w:lang w:val="en-US" w:eastAsia="zh-CN" w:bidi="ar"/>
              </w:rPr>
              <w:t>社会</w:t>
            </w:r>
            <w:r>
              <w:rPr>
                <w:rFonts w:hint="eastAsia" w:ascii="宋体" w:hAnsi="宋体" w:eastAsia="宋体" w:cs="宋体"/>
                <w:i w:val="0"/>
                <w:iCs w:val="0"/>
                <w:color w:val="000000"/>
                <w:kern w:val="0"/>
                <w:sz w:val="20"/>
                <w:szCs w:val="20"/>
                <w:u w:val="none"/>
                <w:lang w:val="en-US" w:eastAsia="zh-CN" w:bidi="ar"/>
              </w:rPr>
              <w:t>效益指标</w:t>
            </w:r>
          </w:p>
        </w:tc>
        <w:tc>
          <w:tcPr>
            <w:tcW w:w="2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宋体" w:hAnsi="宋体" w:cs="宋体"/>
                <w:i w:val="0"/>
                <w:iCs w:val="0"/>
                <w:color w:val="000000"/>
                <w:kern w:val="0"/>
                <w:sz w:val="20"/>
                <w:szCs w:val="20"/>
                <w:u w:val="none"/>
                <w:lang w:val="en-US" w:eastAsia="zh-CN" w:bidi="ar"/>
              </w:rPr>
              <w:t>驻村帮扶效益</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90</w:t>
            </w:r>
            <w:r>
              <w:rPr>
                <w:rFonts w:hint="eastAsia" w:ascii="宋体" w:hAnsi="宋体" w:eastAsia="宋体" w:cs="宋体"/>
                <w:i w:val="0"/>
                <w:iCs w:val="0"/>
                <w:color w:val="000000"/>
                <w:kern w:val="0"/>
                <w:sz w:val="18"/>
                <w:szCs w:val="18"/>
                <w:u w:val="none"/>
                <w:lang w:val="en-US" w:eastAsia="zh-CN" w:bidi="ar"/>
              </w:rPr>
              <w:t>%</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成本指标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经济成本指标</w:t>
            </w:r>
          </w:p>
        </w:tc>
        <w:tc>
          <w:tcPr>
            <w:tcW w:w="2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驻村工作队人均</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=5000元/人年</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2"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满意度指标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20"/>
                <w:szCs w:val="20"/>
                <w:u w:val="none"/>
                <w:lang w:val="en-US" w:eastAsia="zh-CN" w:bidi="ar"/>
              </w:rPr>
              <w:t>帮扶</w:t>
            </w:r>
            <w:r>
              <w:rPr>
                <w:rFonts w:hint="eastAsia" w:ascii="宋体" w:hAnsi="宋体" w:eastAsia="宋体" w:cs="宋体"/>
                <w:i w:val="0"/>
                <w:iCs w:val="0"/>
                <w:color w:val="000000"/>
                <w:kern w:val="0"/>
                <w:sz w:val="20"/>
                <w:szCs w:val="20"/>
                <w:u w:val="none"/>
                <w:lang w:val="en-US" w:eastAsia="zh-CN" w:bidi="ar"/>
              </w:rPr>
              <w:t>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2" w:hRule="atLeast"/>
        </w:trPr>
        <w:tc>
          <w:tcPr>
            <w:tcW w:w="6777" w:type="dxa"/>
            <w:gridSpan w:val="6"/>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总分</w:t>
            </w:r>
          </w:p>
        </w:tc>
        <w:tc>
          <w:tcPr>
            <w:tcW w:w="2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100分</w:t>
            </w:r>
          </w:p>
        </w:tc>
      </w:tr>
    </w:tbl>
    <w:p>
      <w:pPr>
        <w:pStyle w:val="2"/>
        <w:rPr>
          <w:rFonts w:hint="eastAsia" w:ascii="仿宋_GB2312" w:hAnsi="Calibri" w:eastAsia="仿宋_GB2312" w:cs="仿宋"/>
          <w:color w:val="auto"/>
          <w:kern w:val="0"/>
          <w:sz w:val="32"/>
          <w:szCs w:val="32"/>
          <w:highlight w:val="none"/>
          <w:lang w:val="zh-CN" w:eastAsia="zh-CN" w:bidi="ar-SA"/>
        </w:rPr>
      </w:pPr>
    </w:p>
    <w:p>
      <w:pPr>
        <w:rPr>
          <w:rFonts w:hint="eastAsia" w:ascii="仿宋_GB2312" w:hAnsi="Calibri" w:eastAsia="仿宋_GB2312" w:cs="仿宋"/>
          <w:color w:val="auto"/>
          <w:kern w:val="0"/>
          <w:sz w:val="32"/>
          <w:szCs w:val="32"/>
          <w:highlight w:val="none"/>
          <w:lang w:val="zh-CN" w:eastAsia="zh-CN" w:bidi="ar-SA"/>
        </w:rPr>
      </w:pPr>
    </w:p>
    <w:p>
      <w:pPr>
        <w:pStyle w:val="2"/>
        <w:rPr>
          <w:rFonts w:hint="eastAsia" w:ascii="仿宋_GB2312" w:hAnsi="Calibri" w:eastAsia="仿宋_GB2312" w:cs="仿宋"/>
          <w:color w:val="auto"/>
          <w:kern w:val="0"/>
          <w:sz w:val="32"/>
          <w:szCs w:val="32"/>
          <w:highlight w:val="none"/>
          <w:lang w:val="zh-CN" w:eastAsia="zh-CN" w:bidi="ar-SA"/>
        </w:rPr>
      </w:pPr>
    </w:p>
    <w:p>
      <w:pPr>
        <w:rPr>
          <w:rFonts w:hint="eastAsia" w:ascii="仿宋_GB2312" w:hAnsi="Calibri" w:eastAsia="仿宋_GB2312" w:cs="仿宋"/>
          <w:color w:val="auto"/>
          <w:kern w:val="0"/>
          <w:sz w:val="32"/>
          <w:szCs w:val="32"/>
          <w:highlight w:val="none"/>
          <w:lang w:val="zh-CN" w:eastAsia="zh-CN" w:bidi="ar-SA"/>
        </w:rPr>
      </w:pPr>
    </w:p>
    <w:p>
      <w:pPr>
        <w:pStyle w:val="2"/>
        <w:rPr>
          <w:rFonts w:hint="eastAsia" w:ascii="仿宋_GB2312" w:hAnsi="Calibri" w:eastAsia="仿宋_GB2312" w:cs="仿宋"/>
          <w:color w:val="auto"/>
          <w:kern w:val="0"/>
          <w:sz w:val="32"/>
          <w:szCs w:val="32"/>
          <w:highlight w:val="none"/>
          <w:lang w:val="zh-CN" w:eastAsia="zh-CN" w:bidi="ar-SA"/>
        </w:rPr>
      </w:pPr>
    </w:p>
    <w:p>
      <w:pPr>
        <w:rPr>
          <w:rFonts w:hint="eastAsia" w:ascii="仿宋_GB2312" w:hAnsi="Calibri" w:eastAsia="仿宋_GB2312" w:cs="仿宋"/>
          <w:color w:val="auto"/>
          <w:kern w:val="0"/>
          <w:sz w:val="32"/>
          <w:szCs w:val="32"/>
          <w:highlight w:val="none"/>
          <w:lang w:val="zh-CN" w:eastAsia="zh-CN" w:bidi="ar-SA"/>
        </w:rPr>
      </w:pPr>
    </w:p>
    <w:p>
      <w:pPr>
        <w:pStyle w:val="2"/>
        <w:rPr>
          <w:rFonts w:hint="eastAsia" w:ascii="仿宋_GB2312" w:hAnsi="Calibri" w:eastAsia="仿宋_GB2312" w:cs="仿宋"/>
          <w:color w:val="auto"/>
          <w:kern w:val="0"/>
          <w:sz w:val="32"/>
          <w:szCs w:val="32"/>
          <w:highlight w:val="none"/>
          <w:lang w:val="zh-CN" w:eastAsia="zh-CN" w:bidi="ar-SA"/>
        </w:rPr>
      </w:pPr>
    </w:p>
    <w:p>
      <w:pPr>
        <w:rPr>
          <w:rFonts w:hint="eastAsia" w:ascii="仿宋_GB2312" w:hAnsi="Calibri" w:eastAsia="仿宋_GB2312" w:cs="仿宋"/>
          <w:color w:val="auto"/>
          <w:kern w:val="0"/>
          <w:sz w:val="32"/>
          <w:szCs w:val="32"/>
          <w:highlight w:val="none"/>
          <w:lang w:val="zh-CN" w:eastAsia="zh-CN" w:bidi="ar-SA"/>
        </w:rPr>
      </w:pPr>
    </w:p>
    <w:p>
      <w:pPr>
        <w:pStyle w:val="2"/>
        <w:rPr>
          <w:rFonts w:hint="eastAsia" w:ascii="仿宋_GB2312" w:hAnsi="Calibri" w:eastAsia="仿宋_GB2312" w:cs="仿宋"/>
          <w:color w:val="auto"/>
          <w:kern w:val="0"/>
          <w:sz w:val="32"/>
          <w:szCs w:val="32"/>
          <w:highlight w:val="none"/>
          <w:lang w:val="zh-CN" w:eastAsia="zh-CN" w:bidi="ar-SA"/>
        </w:rPr>
      </w:pPr>
    </w:p>
    <w:p>
      <w:pPr>
        <w:rPr>
          <w:rFonts w:hint="eastAsia" w:ascii="仿宋_GB2312" w:hAnsi="Calibri" w:eastAsia="仿宋_GB2312" w:cs="仿宋"/>
          <w:color w:val="auto"/>
          <w:kern w:val="0"/>
          <w:sz w:val="32"/>
          <w:szCs w:val="32"/>
          <w:highlight w:val="none"/>
          <w:lang w:val="zh-CN" w:eastAsia="zh-CN" w:bidi="ar-SA"/>
        </w:rPr>
      </w:pPr>
    </w:p>
    <w:p>
      <w:pPr>
        <w:pStyle w:val="2"/>
        <w:rPr>
          <w:rFonts w:hint="eastAsia" w:ascii="仿宋_GB2312" w:hAnsi="Calibri" w:eastAsia="仿宋_GB2312" w:cs="仿宋"/>
          <w:color w:val="auto"/>
          <w:kern w:val="0"/>
          <w:sz w:val="32"/>
          <w:szCs w:val="32"/>
          <w:highlight w:val="none"/>
          <w:lang w:val="zh-CN" w:eastAsia="zh-CN" w:bidi="ar-SA"/>
        </w:rPr>
      </w:pPr>
    </w:p>
    <w:p>
      <w:pPr>
        <w:rPr>
          <w:rFonts w:hint="eastAsia" w:ascii="仿宋_GB2312" w:hAnsi="Calibri" w:eastAsia="仿宋_GB2312" w:cs="仿宋"/>
          <w:color w:val="auto"/>
          <w:kern w:val="0"/>
          <w:sz w:val="32"/>
          <w:szCs w:val="32"/>
          <w:highlight w:val="none"/>
          <w:lang w:val="zh-CN" w:eastAsia="zh-CN" w:bidi="ar-SA"/>
        </w:rPr>
      </w:pPr>
    </w:p>
    <w:p>
      <w:pPr>
        <w:pStyle w:val="2"/>
        <w:rPr>
          <w:rFonts w:hint="eastAsia" w:ascii="仿宋_GB2312" w:hAnsi="Calibri" w:eastAsia="仿宋_GB2312" w:cs="仿宋"/>
          <w:color w:val="auto"/>
          <w:kern w:val="0"/>
          <w:sz w:val="32"/>
          <w:szCs w:val="32"/>
          <w:highlight w:val="none"/>
          <w:lang w:val="zh-CN" w:eastAsia="zh-CN" w:bidi="ar-SA"/>
        </w:rPr>
      </w:pPr>
    </w:p>
    <w:p>
      <w:pPr>
        <w:rPr>
          <w:rFonts w:hint="eastAsia" w:ascii="仿宋_GB2312" w:hAnsi="Calibri" w:eastAsia="仿宋_GB2312" w:cs="仿宋"/>
          <w:color w:val="auto"/>
          <w:kern w:val="0"/>
          <w:sz w:val="32"/>
          <w:szCs w:val="32"/>
          <w:highlight w:val="none"/>
          <w:lang w:val="zh-CN" w:eastAsia="zh-CN" w:bidi="ar-SA"/>
        </w:rPr>
      </w:pPr>
    </w:p>
    <w:p>
      <w:pPr>
        <w:pStyle w:val="2"/>
        <w:rPr>
          <w:rFonts w:hint="eastAsia"/>
          <w:lang w:val="zh-CN" w:eastAsia="zh-CN"/>
        </w:rPr>
      </w:pPr>
    </w:p>
    <w:p>
      <w:pPr>
        <w:pageBreakBefore w:val="0"/>
        <w:kinsoku/>
        <w:wordWrap/>
        <w:overflowPunct/>
        <w:topLinePunct w:val="0"/>
        <w:bidi w:val="0"/>
        <w:spacing w:line="576" w:lineRule="exact"/>
        <w:jc w:val="center"/>
        <w:textAlignment w:val="auto"/>
        <w:outlineLvl w:val="0"/>
        <w:rPr>
          <w:rStyle w:val="30"/>
          <w:rFonts w:hint="default" w:ascii="黑体" w:hAnsi="黑体" w:eastAsia="黑体" w:cstheme="minorBidi"/>
          <w:b w:val="0"/>
          <w:color w:val="auto"/>
          <w:highlight w:val="none"/>
          <w:lang w:val="en-US" w:eastAsia="zh-CN"/>
        </w:rPr>
      </w:pPr>
      <w:r>
        <w:rPr>
          <w:rStyle w:val="30"/>
          <w:rFonts w:hint="eastAsia" w:ascii="黑体" w:hAnsi="黑体" w:eastAsia="黑体" w:cstheme="minorBidi"/>
          <w:b w:val="0"/>
          <w:color w:val="auto"/>
          <w:highlight w:val="none"/>
          <w:lang w:val="en-US" w:eastAsia="zh-CN"/>
        </w:rPr>
        <w:t>2022年关于下达2022年抗旱应急财政补助资金</w:t>
      </w:r>
      <w:r>
        <w:rPr>
          <w:rStyle w:val="30"/>
          <w:rFonts w:hint="default" w:ascii="黑体" w:hAnsi="黑体" w:eastAsia="黑体" w:cstheme="minorBidi"/>
          <w:b w:val="0"/>
          <w:color w:val="auto"/>
          <w:highlight w:val="none"/>
          <w:lang w:val="en-US" w:eastAsia="zh-CN"/>
        </w:rPr>
        <w:t>项目绩效自评报告</w:t>
      </w:r>
    </w:p>
    <w:p>
      <w:pPr>
        <w:pageBreakBefore w:val="0"/>
        <w:kinsoku/>
        <w:wordWrap/>
        <w:overflowPunct/>
        <w:topLinePunct w:val="0"/>
        <w:bidi w:val="0"/>
        <w:spacing w:line="576" w:lineRule="exact"/>
        <w:jc w:val="center"/>
        <w:textAlignment w:val="auto"/>
        <w:outlineLvl w:val="0"/>
        <w:rPr>
          <w:rStyle w:val="30"/>
          <w:rFonts w:hint="default" w:ascii="黑体" w:hAnsi="黑体" w:eastAsia="黑体" w:cstheme="minorBidi"/>
          <w:b w:val="0"/>
          <w:color w:val="auto"/>
          <w:highlight w:val="none"/>
          <w:lang w:val="en-US" w:eastAsia="zh-CN"/>
        </w:rPr>
      </w:pPr>
      <w:r>
        <w:rPr>
          <w:rStyle w:val="30"/>
          <w:rFonts w:hint="default" w:ascii="黑体" w:hAnsi="黑体" w:eastAsia="黑体" w:cstheme="minorBidi"/>
          <w:b w:val="0"/>
          <w:color w:val="auto"/>
          <w:highlight w:val="none"/>
          <w:lang w:val="en-US" w:eastAsia="zh-CN"/>
        </w:rPr>
        <w:t xml:space="preserve">    </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一、</w:t>
      </w:r>
      <w:r>
        <w:rPr>
          <w:rFonts w:hint="default" w:ascii="黑体" w:hAnsi="黑体" w:eastAsia="黑体" w:cs="黑体"/>
          <w:color w:val="auto"/>
          <w:kern w:val="0"/>
          <w:sz w:val="32"/>
          <w:szCs w:val="32"/>
          <w:highlight w:val="none"/>
          <w:lang w:val="zh-CN" w:eastAsia="zh-CN" w:bidi="ar-SA"/>
        </w:rPr>
        <w:t>项目概况</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eastAsia" w:ascii="仿宋_GB2312" w:hAnsi="仿宋_GB2312" w:eastAsia="仿宋_GB2312" w:cs="仿宋_GB2312"/>
          <w:sz w:val="32"/>
          <w:szCs w:val="32"/>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一</w:t>
      </w:r>
      <w:r>
        <w:rPr>
          <w:rFonts w:hint="default" w:ascii="仿宋" w:hAnsi="仿宋" w:eastAsia="仿宋" w:cs="Times New Roman"/>
          <w:b/>
          <w:color w:val="auto"/>
          <w:sz w:val="32"/>
          <w:szCs w:val="32"/>
          <w:highlight w:val="none"/>
          <w:lang w:val="zh-CN" w:eastAsia="zh-CN"/>
        </w:rPr>
        <w:t>）项目</w:t>
      </w:r>
      <w:r>
        <w:rPr>
          <w:rFonts w:hint="eastAsia" w:ascii="仿宋" w:hAnsi="仿宋" w:eastAsia="仿宋" w:cs="Times New Roman"/>
          <w:b/>
          <w:color w:val="auto"/>
          <w:sz w:val="32"/>
          <w:szCs w:val="32"/>
          <w:highlight w:val="none"/>
          <w:lang w:val="en-US" w:eastAsia="zh-CN"/>
        </w:rPr>
        <w:t>基本情况</w:t>
      </w:r>
      <w:r>
        <w:rPr>
          <w:rFonts w:hint="default" w:ascii="仿宋" w:hAnsi="仿宋" w:eastAsia="仿宋" w:cs="Times New Roman"/>
          <w:b/>
          <w:color w:val="auto"/>
          <w:sz w:val="32"/>
          <w:szCs w:val="32"/>
          <w:highlight w:val="none"/>
          <w:lang w:val="zh-CN" w:eastAsia="zh-CN"/>
        </w:rPr>
        <w:t>。</w:t>
      </w:r>
      <w:r>
        <w:rPr>
          <w:rFonts w:hint="default" w:ascii="仿宋_GB2312" w:hAnsi="仿宋_GB2312" w:eastAsia="仿宋_GB2312" w:cs="仿宋_GB2312"/>
          <w:sz w:val="32"/>
          <w:szCs w:val="32"/>
          <w:lang w:val="zh-CN" w:eastAsia="zh-CN"/>
        </w:rPr>
        <w:t>坚持以习近平新时代中国特色社会主义思想为指引，</w:t>
      </w:r>
      <w:r>
        <w:rPr>
          <w:rFonts w:hint="eastAsia" w:ascii="仿宋_GB2312" w:hAnsi="仿宋_GB2312" w:eastAsia="仿宋_GB2312" w:cs="仿宋_GB2312"/>
          <w:sz w:val="32"/>
          <w:szCs w:val="32"/>
          <w:lang w:val="zh-CN" w:eastAsia="zh-CN"/>
        </w:rPr>
        <w:t>立足防大汛，抗大旱抢大险救大灾，有力提升应对极端灾害的能力，确保在大灾面前生产、生活安定有序。抗旱应急财政补助</w:t>
      </w:r>
      <w:r>
        <w:rPr>
          <w:rFonts w:hint="default" w:ascii="仿宋_GB2312" w:hAnsi="仿宋_GB2312" w:eastAsia="仿宋_GB2312" w:cs="仿宋_GB2312"/>
          <w:sz w:val="32"/>
          <w:szCs w:val="32"/>
          <w:lang w:val="zh-CN" w:eastAsia="zh-CN"/>
        </w:rPr>
        <w:t>资金主要用于</w:t>
      </w:r>
      <w:r>
        <w:rPr>
          <w:rFonts w:hint="eastAsia" w:ascii="仿宋_GB2312" w:hAnsi="仿宋_GB2312" w:eastAsia="仿宋_GB2312" w:cs="仿宋_GB2312"/>
          <w:sz w:val="32"/>
          <w:szCs w:val="32"/>
          <w:lang w:val="zh-CN" w:eastAsia="zh-CN"/>
        </w:rPr>
        <w:t>解决抗旱工作中的人力、设施设备、应急抢险、临时抽送水油料等费用保障</w:t>
      </w:r>
      <w:r>
        <w:rPr>
          <w:rFonts w:hint="default" w:ascii="仿宋_GB2312" w:hAnsi="仿宋_GB2312" w:eastAsia="仿宋_GB2312" w:cs="仿宋_GB2312"/>
          <w:sz w:val="32"/>
          <w:szCs w:val="32"/>
          <w:lang w:val="zh-CN" w:eastAsia="zh-CN"/>
        </w:rPr>
        <w:t>。</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eastAsia" w:ascii="仿宋_GB2312" w:hAnsi="仿宋_GB2312" w:eastAsia="仿宋_GB2312" w:cs="仿宋_GB2312"/>
          <w:sz w:val="32"/>
          <w:szCs w:val="32"/>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）项目绩效目标。</w:t>
      </w:r>
      <w:r>
        <w:rPr>
          <w:rFonts w:hint="default" w:ascii="仿宋_GB2312" w:hAnsi="仿宋_GB2312" w:eastAsia="仿宋_GB2312" w:cs="仿宋_GB2312"/>
          <w:sz w:val="32"/>
          <w:szCs w:val="32"/>
          <w:lang w:val="zh-CN" w:eastAsia="zh-CN"/>
        </w:rPr>
        <w:t>我镇</w:t>
      </w:r>
      <w:r>
        <w:rPr>
          <w:rFonts w:hint="eastAsia" w:ascii="仿宋_GB2312" w:hAnsi="仿宋_GB2312" w:eastAsia="仿宋_GB2312" w:cs="仿宋_GB2312"/>
          <w:sz w:val="32"/>
          <w:szCs w:val="32"/>
          <w:lang w:val="en-US" w:eastAsia="zh-CN"/>
        </w:rPr>
        <w:t>关于</w:t>
      </w:r>
      <w:r>
        <w:rPr>
          <w:rFonts w:hint="eastAsia" w:ascii="仿宋_GB2312" w:hAnsi="仿宋_GB2312" w:eastAsia="仿宋_GB2312" w:cs="仿宋_GB2312"/>
          <w:sz w:val="32"/>
          <w:szCs w:val="32"/>
          <w:lang w:val="zh-CN" w:eastAsia="zh-CN"/>
        </w:rPr>
        <w:t>抗旱应急财政补助</w:t>
      </w:r>
      <w:r>
        <w:rPr>
          <w:rFonts w:hint="default" w:ascii="仿宋_GB2312" w:hAnsi="仿宋_GB2312" w:eastAsia="仿宋_GB2312" w:cs="仿宋_GB2312"/>
          <w:sz w:val="32"/>
          <w:szCs w:val="32"/>
          <w:lang w:val="zh-CN" w:eastAsia="zh-CN"/>
        </w:rPr>
        <w:t>资金主要用于</w:t>
      </w:r>
      <w:r>
        <w:rPr>
          <w:rFonts w:hint="eastAsia" w:ascii="仿宋_GB2312" w:hAnsi="仿宋_GB2312" w:eastAsia="仿宋_GB2312" w:cs="仿宋_GB2312"/>
          <w:sz w:val="32"/>
          <w:szCs w:val="32"/>
          <w:lang w:val="zh-CN" w:eastAsia="zh-CN"/>
        </w:rPr>
        <w:t>解决抗旱工作中的人力、设施设备、应急抢险、临时抽送水油料等费用保障。有效解决旱期</w:t>
      </w:r>
      <w:r>
        <w:rPr>
          <w:rFonts w:hint="eastAsia" w:ascii="仿宋_GB2312" w:hAnsi="仿宋_GB2312" w:eastAsia="仿宋_GB2312" w:cs="仿宋_GB2312"/>
          <w:sz w:val="32"/>
          <w:szCs w:val="32"/>
          <w:lang w:val="en-US" w:eastAsia="zh-CN"/>
        </w:rPr>
        <w:t>17个村（居）</w:t>
      </w:r>
      <w:r>
        <w:rPr>
          <w:rFonts w:hint="eastAsia" w:ascii="仿宋_GB2312" w:hAnsi="仿宋_GB2312" w:eastAsia="仿宋_GB2312" w:cs="仿宋_GB2312"/>
          <w:sz w:val="32"/>
          <w:szCs w:val="32"/>
          <w:lang w:val="zh-CN" w:eastAsia="zh-CN"/>
        </w:rPr>
        <w:t>群众生产生活用水，确保产业大户及群众农作物收益。</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）自评步骤及方法</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村、社区居民建议意见，做好自评工作。</w:t>
      </w:r>
      <w:r>
        <w:rPr>
          <w:rFonts w:hint="eastAsia" w:ascii="仿宋_GB2312" w:hAnsi="仿宋_GB2312" w:eastAsia="仿宋_GB2312" w:cs="仿宋_GB2312"/>
          <w:sz w:val="32"/>
          <w:szCs w:val="32"/>
          <w:lang w:val="zh-CN" w:eastAsia="zh-CN"/>
        </w:rPr>
        <w:t>并对照年初预算的绩效目标使用《广元市昭化区财政项目（政策）支出绩效自评表》进行打分，出具评价结果并提交绩效</w:t>
      </w:r>
      <w:r>
        <w:rPr>
          <w:rFonts w:hint="eastAsia" w:ascii="仿宋_GB2312" w:hAnsi="仿宋_GB2312" w:eastAsia="仿宋_GB2312" w:cs="仿宋_GB2312"/>
          <w:sz w:val="32"/>
          <w:szCs w:val="32"/>
          <w:lang w:val="en-US" w:eastAsia="zh-CN"/>
        </w:rPr>
        <w:t>自评</w:t>
      </w:r>
      <w:r>
        <w:rPr>
          <w:rFonts w:hint="eastAsia" w:ascii="仿宋_GB2312" w:hAnsi="仿宋_GB2312" w:eastAsia="仿宋_GB2312" w:cs="仿宋_GB2312"/>
          <w:sz w:val="32"/>
          <w:szCs w:val="32"/>
          <w:lang w:val="zh-CN" w:eastAsia="zh-CN"/>
        </w:rPr>
        <w:t>报告等程序进行。</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二、项目</w:t>
      </w:r>
      <w:r>
        <w:rPr>
          <w:rFonts w:hint="eastAsia" w:ascii="黑体" w:hAnsi="黑体" w:eastAsia="黑体" w:cs="黑体"/>
          <w:color w:val="auto"/>
          <w:kern w:val="0"/>
          <w:sz w:val="32"/>
          <w:szCs w:val="32"/>
          <w:highlight w:val="none"/>
          <w:lang w:val="en-US" w:eastAsia="zh-CN" w:bidi="ar-SA"/>
        </w:rPr>
        <w:t>资金申报及使用情况</w:t>
      </w:r>
    </w:p>
    <w:p>
      <w:pPr>
        <w:pageBreakBefore w:val="0"/>
        <w:kinsoku/>
        <w:wordWrap/>
        <w:overflowPunct/>
        <w:topLinePunct w:val="0"/>
        <w:autoSpaceDE w:val="0"/>
        <w:autoSpaceDN w:val="0"/>
        <w:bidi w:val="0"/>
        <w:adjustRightInd w:val="0"/>
        <w:spacing w:line="576" w:lineRule="exact"/>
        <w:ind w:firstLine="642" w:firstLineChars="200"/>
        <w:jc w:val="left"/>
        <w:textAlignment w:val="auto"/>
        <w:outlineLvl w:val="2"/>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（一）项目资金申报及批复情况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关于下达2022年抗旱应急财政补助资金</w:t>
      </w:r>
      <w:r>
        <w:rPr>
          <w:rFonts w:hint="eastAsia" w:ascii="仿宋_GB2312" w:hAnsi="仿宋_GB2312" w:eastAsia="仿宋_GB2312" w:cs="仿宋_GB2312"/>
          <w:sz w:val="32"/>
          <w:szCs w:val="32"/>
          <w:lang w:val="zh-CN" w:eastAsia="zh-CN"/>
        </w:rPr>
        <w:t>项目预算</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val="zh-CN" w:eastAsia="zh-CN"/>
        </w:rPr>
        <w:t>万元，区财政批复预</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val="zh-CN" w:eastAsia="zh-CN"/>
        </w:rPr>
        <w:t>万元，下达资金</w:t>
      </w:r>
      <w:r>
        <w:rPr>
          <w:rFonts w:hint="eastAsia" w:ascii="仿宋_GB2312" w:hAnsi="仿宋_GB2312" w:eastAsia="仿宋_GB2312" w:cs="仿宋_GB2312"/>
          <w:sz w:val="32"/>
          <w:szCs w:val="32"/>
          <w:lang w:val="en-US" w:eastAsia="zh-CN"/>
        </w:rPr>
        <w:t>12万元，资金到位率100%。支付依据符合相关规定，项目资金支付与预算申请相符合。</w:t>
      </w:r>
    </w:p>
    <w:p>
      <w:pPr>
        <w:pageBreakBefore w:val="0"/>
        <w:kinsoku/>
        <w:wordWrap/>
        <w:overflowPunct/>
        <w:topLinePunct w:val="0"/>
        <w:autoSpaceDE w:val="0"/>
        <w:autoSpaceDN w:val="0"/>
        <w:bidi w:val="0"/>
        <w:adjustRightInd w:val="0"/>
        <w:spacing w:line="576" w:lineRule="exact"/>
        <w:ind w:firstLine="642"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项目计划、到位及使用</w:t>
      </w:r>
      <w:r>
        <w:rPr>
          <w:rFonts w:hint="default" w:ascii="仿宋" w:hAnsi="仿宋" w:eastAsia="仿宋" w:cs="Times New Roman"/>
          <w:b/>
          <w:color w:val="auto"/>
          <w:sz w:val="32"/>
          <w:szCs w:val="32"/>
          <w:highlight w:val="none"/>
          <w:lang w:val="zh-CN" w:eastAsia="zh-CN"/>
        </w:rPr>
        <w:t>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1．资金计划。</w:t>
      </w:r>
      <w:r>
        <w:rPr>
          <w:rFonts w:hint="eastAsia" w:ascii="仿宋_GB2312" w:hAnsi="仿宋_GB2312" w:eastAsia="仿宋_GB2312" w:cs="仿宋_GB2312"/>
          <w:sz w:val="32"/>
          <w:szCs w:val="32"/>
          <w:lang w:val="en-US" w:eastAsia="zh-CN"/>
        </w:rPr>
        <w:t>该</w:t>
      </w:r>
      <w:r>
        <w:rPr>
          <w:rFonts w:hint="eastAsia" w:ascii="仿宋_GB2312" w:hAnsi="仿宋_GB2312" w:eastAsia="仿宋_GB2312" w:cs="仿宋_GB2312"/>
          <w:sz w:val="32"/>
          <w:szCs w:val="32"/>
          <w:lang w:val="zh-CN" w:eastAsia="zh-CN"/>
        </w:rPr>
        <w:t>项目资金来源为财政拨款，总投入为</w:t>
      </w:r>
      <w:r>
        <w:rPr>
          <w:rFonts w:hint="eastAsia" w:ascii="仿宋_GB2312" w:hAnsi="仿宋_GB2312" w:eastAsia="仿宋_GB2312" w:cs="仿宋_GB2312"/>
          <w:sz w:val="32"/>
          <w:szCs w:val="32"/>
          <w:lang w:val="en-US" w:eastAsia="zh-CN"/>
        </w:rPr>
        <w:t>12万元。</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2．资金到位。截止评价时点，该项目</w:t>
      </w:r>
      <w:r>
        <w:rPr>
          <w:rFonts w:hint="eastAsia" w:ascii="仿宋_GB2312" w:hAnsi="仿宋_GB2312" w:eastAsia="仿宋_GB2312" w:cs="仿宋_GB2312"/>
          <w:sz w:val="32"/>
          <w:szCs w:val="32"/>
          <w:lang w:val="en-US" w:eastAsia="zh-CN"/>
        </w:rPr>
        <w:t>资金全部到位，资金到位率100%。</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3．资金使用。截止评价时点，该项目</w:t>
      </w:r>
      <w:r>
        <w:rPr>
          <w:rFonts w:hint="eastAsia" w:ascii="仿宋_GB2312" w:hAnsi="仿宋_GB2312" w:eastAsia="仿宋_GB2312" w:cs="仿宋_GB2312"/>
          <w:sz w:val="32"/>
          <w:szCs w:val="32"/>
          <w:lang w:val="en-US" w:eastAsia="zh-CN"/>
        </w:rPr>
        <w:t>已支付，资金使用率100%。</w:t>
      </w:r>
      <w:r>
        <w:rPr>
          <w:rFonts w:hint="eastAsia" w:ascii="仿宋_GB2312" w:hAnsi="仿宋_GB2312" w:eastAsia="仿宋_GB2312" w:cs="仿宋_GB2312"/>
          <w:sz w:val="32"/>
          <w:szCs w:val="32"/>
          <w:lang w:val="zh-CN" w:eastAsia="zh-CN"/>
        </w:rPr>
        <w:t>资金使用</w:t>
      </w:r>
      <w:r>
        <w:rPr>
          <w:rFonts w:hint="eastAsia" w:ascii="仿宋_GB2312" w:hAnsi="仿宋_GB2312" w:eastAsia="仿宋_GB2312" w:cs="仿宋_GB2312"/>
          <w:sz w:val="32"/>
          <w:szCs w:val="32"/>
          <w:lang w:val="en-US" w:eastAsia="zh-CN"/>
        </w:rPr>
        <w:t>具有</w:t>
      </w:r>
      <w:r>
        <w:rPr>
          <w:rFonts w:hint="eastAsia" w:ascii="仿宋_GB2312" w:hAnsi="仿宋_GB2312" w:eastAsia="仿宋_GB2312" w:cs="仿宋_GB2312"/>
          <w:sz w:val="32"/>
          <w:szCs w:val="32"/>
          <w:lang w:val="zh-CN" w:eastAsia="zh-CN"/>
        </w:rPr>
        <w:t>安全性、规范性、有效性，</w:t>
      </w:r>
      <w:r>
        <w:rPr>
          <w:rFonts w:hint="eastAsia" w:ascii="仿宋_GB2312" w:hAnsi="仿宋_GB2312" w:eastAsia="仿宋_GB2312" w:cs="仿宋_GB2312"/>
          <w:sz w:val="32"/>
          <w:szCs w:val="32"/>
          <w:lang w:val="en-US" w:eastAsia="zh-CN"/>
        </w:rPr>
        <w:t>严格按照</w:t>
      </w:r>
      <w:r>
        <w:rPr>
          <w:rFonts w:hint="eastAsia" w:ascii="仿宋_GB2312" w:hAnsi="仿宋_GB2312" w:eastAsia="仿宋_GB2312" w:cs="仿宋_GB2312"/>
          <w:sz w:val="32"/>
          <w:szCs w:val="32"/>
          <w:lang w:val="zh-CN" w:eastAsia="zh-CN"/>
        </w:rPr>
        <w:t>资金支付范围、支付标准</w:t>
      </w:r>
      <w:r>
        <w:rPr>
          <w:rFonts w:hint="eastAsia" w:ascii="仿宋_GB2312" w:hAnsi="仿宋_GB2312" w:eastAsia="仿宋_GB2312" w:cs="仿宋_GB2312"/>
          <w:sz w:val="32"/>
          <w:szCs w:val="32"/>
          <w:lang w:val="en-US" w:eastAsia="zh-CN"/>
        </w:rPr>
        <w:t>进行支付，</w:t>
      </w:r>
      <w:r>
        <w:rPr>
          <w:rFonts w:hint="eastAsia" w:ascii="仿宋_GB2312" w:hAnsi="仿宋_GB2312" w:eastAsia="仿宋_GB2312" w:cs="仿宋_GB2312"/>
          <w:sz w:val="32"/>
          <w:szCs w:val="32"/>
          <w:lang w:val="zh-CN" w:eastAsia="zh-CN"/>
        </w:rPr>
        <w:t>支付进度、支付依据合规合法、与预算相符。</w:t>
      </w:r>
    </w:p>
    <w:p>
      <w:pPr>
        <w:pageBreakBefore w:val="0"/>
        <w:kinsoku/>
        <w:wordWrap/>
        <w:overflowPunct/>
        <w:topLinePunct w:val="0"/>
        <w:autoSpaceDE w:val="0"/>
        <w:autoSpaceDN w:val="0"/>
        <w:bidi w:val="0"/>
        <w:adjustRightInd w:val="0"/>
        <w:spacing w:line="576" w:lineRule="exact"/>
        <w:ind w:firstLine="642"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default" w:ascii="仿宋" w:hAnsi="仿宋" w:eastAsia="仿宋" w:cs="Times New Roman"/>
          <w:b/>
          <w:color w:val="auto"/>
          <w:sz w:val="32"/>
          <w:szCs w:val="32"/>
          <w:highlight w:val="none"/>
          <w:lang w:val="zh-CN" w:eastAsia="zh-CN"/>
        </w:rPr>
        <w:t>）项目财务管理情况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下达2022年抗旱应急财政补助资金项目资金采取财政直接支付形式，由镇相关部门组织申报材料，形成项目专项资金申请报告报送财务部门，由财政所根据项目进度，严格按照项目资金管理办法对资金进行计划申请、划拨至所提供的企业指定账户，及时、规范对收支进行账务处理和会计核算。对项目资金坚持专款专用、量入为出的原则，并建立好项目专项资金使用台账，加强项目专项资金的财务管理及使用监督管理。</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default" w:ascii="黑体" w:hAnsi="黑体" w:eastAsia="黑体" w:cs="黑体"/>
          <w:color w:val="auto"/>
          <w:kern w:val="0"/>
          <w:sz w:val="32"/>
          <w:szCs w:val="32"/>
          <w:highlight w:val="none"/>
          <w:lang w:val="en-US" w:eastAsia="zh-CN" w:bidi="ar-SA"/>
        </w:rPr>
        <w:t>三、项目</w:t>
      </w:r>
      <w:r>
        <w:rPr>
          <w:rFonts w:hint="eastAsia" w:ascii="黑体" w:hAnsi="黑体" w:eastAsia="黑体" w:cs="黑体"/>
          <w:color w:val="auto"/>
          <w:kern w:val="0"/>
          <w:sz w:val="32"/>
          <w:szCs w:val="32"/>
          <w:highlight w:val="none"/>
          <w:lang w:val="en-US" w:eastAsia="zh-CN" w:bidi="ar-SA"/>
        </w:rPr>
        <w:t>实施及管理情况</w:t>
      </w:r>
      <w:r>
        <w:rPr>
          <w:rFonts w:hint="default" w:ascii="黑体" w:hAnsi="黑体" w:eastAsia="黑体" w:cs="黑体"/>
          <w:color w:val="auto"/>
          <w:kern w:val="0"/>
          <w:sz w:val="32"/>
          <w:szCs w:val="32"/>
          <w:highlight w:val="none"/>
          <w:lang w:val="zh-CN" w:eastAsia="zh-CN" w:bidi="ar-SA"/>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仿宋_GB2312" w:hAnsi="仿宋_GB2312" w:eastAsia="仿宋_GB2312" w:cs="仿宋_GB2312"/>
          <w:sz w:val="32"/>
          <w:szCs w:val="32"/>
          <w:lang w:val="zh-CN" w:eastAsia="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一</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项目组织架构及实施流程。</w:t>
      </w:r>
      <w:r>
        <w:rPr>
          <w:rFonts w:hint="eastAsia" w:ascii="仿宋_GB2312" w:hAnsi="仿宋_GB2312" w:eastAsia="仿宋_GB2312" w:cs="仿宋_GB2312"/>
          <w:sz w:val="32"/>
          <w:szCs w:val="32"/>
          <w:lang w:val="zh-CN" w:eastAsia="zh-CN"/>
        </w:rPr>
        <w:t>镇党委政府高度重视</w:t>
      </w:r>
      <w:r>
        <w:rPr>
          <w:rFonts w:hint="eastAsia" w:ascii="仿宋_GB2312" w:hAnsi="仿宋_GB2312" w:eastAsia="仿宋_GB2312" w:cs="仿宋_GB2312"/>
          <w:sz w:val="32"/>
          <w:szCs w:val="32"/>
          <w:lang w:val="en-US" w:eastAsia="zh-CN"/>
        </w:rPr>
        <w:t>关于下达2022年抗旱应急财政补助资金</w:t>
      </w:r>
      <w:r>
        <w:rPr>
          <w:rFonts w:hint="eastAsia" w:ascii="仿宋_GB2312" w:hAnsi="仿宋_GB2312" w:eastAsia="仿宋_GB2312" w:cs="仿宋_GB2312"/>
          <w:sz w:val="32"/>
          <w:szCs w:val="32"/>
          <w:lang w:val="zh-CN" w:eastAsia="zh-CN"/>
        </w:rPr>
        <w:t>项目，并成立工作领导小组。以镇党委副书记、镇长为组长，</w:t>
      </w:r>
      <w:r>
        <w:rPr>
          <w:rFonts w:hint="eastAsia" w:ascii="仿宋_GB2312" w:hAnsi="仿宋_GB2312" w:eastAsia="仿宋_GB2312" w:cs="仿宋_GB2312"/>
          <w:sz w:val="32"/>
          <w:szCs w:val="32"/>
          <w:lang w:val="en-US" w:eastAsia="zh-CN"/>
        </w:rPr>
        <w:t>镇党委委员、副镇长</w:t>
      </w:r>
      <w:r>
        <w:rPr>
          <w:rFonts w:hint="eastAsia" w:ascii="仿宋_GB2312" w:hAnsi="仿宋_GB2312" w:eastAsia="仿宋_GB2312" w:cs="仿宋_GB2312"/>
          <w:sz w:val="32"/>
          <w:szCs w:val="32"/>
          <w:lang w:val="zh-CN" w:eastAsia="zh-CN"/>
        </w:rPr>
        <w:t>为副组长，</w:t>
      </w:r>
      <w:r>
        <w:rPr>
          <w:rFonts w:hint="eastAsia" w:ascii="仿宋_GB2312" w:hAnsi="仿宋_GB2312" w:eastAsia="仿宋_GB2312" w:cs="仿宋_GB2312"/>
          <w:sz w:val="32"/>
          <w:szCs w:val="32"/>
          <w:lang w:val="en-US" w:eastAsia="zh-CN"/>
        </w:rPr>
        <w:t>相关站所负责人</w:t>
      </w:r>
      <w:r>
        <w:rPr>
          <w:rFonts w:hint="eastAsia" w:ascii="仿宋_GB2312" w:hAnsi="仿宋_GB2312" w:eastAsia="仿宋_GB2312" w:cs="仿宋_GB2312"/>
          <w:sz w:val="32"/>
          <w:szCs w:val="32"/>
          <w:lang w:val="zh-CN" w:eastAsia="zh-CN"/>
        </w:rPr>
        <w:t>为成员。抓牢抓实此项目的实施。</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仿宋_GB2312" w:hAnsi="仿宋_GB2312" w:eastAsia="仿宋_GB2312" w:cs="仿宋_GB2312"/>
          <w:sz w:val="32"/>
          <w:szCs w:val="32"/>
          <w:lang w:val="zh-CN" w:eastAsia="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项目管理情况。</w:t>
      </w:r>
      <w:r>
        <w:rPr>
          <w:rFonts w:hint="eastAsia" w:ascii="仿宋_GB2312" w:hAnsi="仿宋_GB2312" w:eastAsia="仿宋_GB2312" w:cs="仿宋_GB2312"/>
          <w:sz w:val="32"/>
          <w:szCs w:val="32"/>
          <w:lang w:val="zh-CN" w:eastAsia="zh-CN"/>
        </w:rPr>
        <w:t>项目资金由镇财政所具体管理，按投资计划，制定管理制度，对项目资金按项目单独核算实行“专款专用、专人管理”，不</w:t>
      </w:r>
      <w:r>
        <w:rPr>
          <w:rFonts w:hint="eastAsia" w:ascii="仿宋_GB2312" w:hAnsi="仿宋_GB2312" w:eastAsia="仿宋_GB2312" w:cs="仿宋_GB2312"/>
          <w:sz w:val="32"/>
          <w:szCs w:val="32"/>
          <w:lang w:val="en-US" w:eastAsia="zh-CN"/>
        </w:rPr>
        <w:t>存在</w:t>
      </w:r>
      <w:r>
        <w:rPr>
          <w:rFonts w:hint="eastAsia" w:ascii="仿宋_GB2312" w:hAnsi="仿宋_GB2312" w:eastAsia="仿宋_GB2312" w:cs="仿宋_GB2312"/>
          <w:sz w:val="32"/>
          <w:szCs w:val="32"/>
          <w:lang w:val="zh-CN" w:eastAsia="zh-CN"/>
        </w:rPr>
        <w:t>挤占挪用项目资金。</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default" w:ascii="黑体" w:hAnsi="黑体" w:eastAsia="黑体" w:cs="黑体"/>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项目监管情况。</w:t>
      </w:r>
      <w:r>
        <w:rPr>
          <w:rFonts w:hint="eastAsia" w:ascii="仿宋_GB2312" w:hAnsi="仿宋_GB2312" w:eastAsia="仿宋_GB2312" w:cs="仿宋_GB2312"/>
          <w:sz w:val="32"/>
          <w:szCs w:val="32"/>
          <w:lang w:val="zh-CN" w:eastAsia="zh-CN"/>
        </w:rPr>
        <w:t>项目的正常实施监督检查是保障。我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val="zh-CN" w:eastAsia="zh-CN"/>
        </w:rPr>
        <w:t>定期或不定期对项目进行现场检查和督查，确保项目建设质量。</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四</w:t>
      </w:r>
      <w:r>
        <w:rPr>
          <w:rFonts w:hint="default" w:ascii="黑体" w:hAnsi="黑体" w:eastAsia="黑体" w:cs="黑体"/>
          <w:color w:val="auto"/>
          <w:kern w:val="0"/>
          <w:sz w:val="32"/>
          <w:szCs w:val="32"/>
          <w:highlight w:val="none"/>
          <w:lang w:val="en-US" w:eastAsia="zh-CN" w:bidi="ar-SA"/>
        </w:rPr>
        <w:t>、项目绩效情况</w:t>
      </w:r>
      <w:r>
        <w:rPr>
          <w:rFonts w:hint="default" w:ascii="黑体" w:hAnsi="黑体" w:eastAsia="黑体" w:cs="黑体"/>
          <w:color w:val="auto"/>
          <w:kern w:val="0"/>
          <w:sz w:val="32"/>
          <w:szCs w:val="32"/>
          <w:highlight w:val="none"/>
          <w:lang w:val="zh-CN" w:eastAsia="zh-CN" w:bidi="ar-SA"/>
        </w:rPr>
        <w:tab/>
      </w:r>
    </w:p>
    <w:p>
      <w:pPr>
        <w:pageBreakBefore w:val="0"/>
        <w:kinsoku/>
        <w:wordWrap/>
        <w:overflowPunct/>
        <w:topLinePunct w:val="0"/>
        <w:autoSpaceDE w:val="0"/>
        <w:autoSpaceDN w:val="0"/>
        <w:bidi w:val="0"/>
        <w:adjustRightInd w:val="0"/>
        <w:spacing w:line="576" w:lineRule="exact"/>
        <w:ind w:firstLine="642"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（一）项目完成情况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镇党委政府</w:t>
      </w:r>
      <w:r>
        <w:rPr>
          <w:rFonts w:hint="eastAsia" w:ascii="仿宋_GB2312" w:hAnsi="仿宋_GB2312" w:eastAsia="仿宋_GB2312" w:cs="仿宋_GB2312"/>
          <w:sz w:val="32"/>
          <w:szCs w:val="32"/>
          <w:lang w:val="en-US" w:eastAsia="zh-CN"/>
        </w:rPr>
        <w:t>高度重视关于下达2022年抗旱应急财政补助资金</w:t>
      </w:r>
      <w:r>
        <w:rPr>
          <w:rFonts w:hint="eastAsia" w:ascii="仿宋_GB2312" w:hAnsi="仿宋_GB2312" w:eastAsia="仿宋_GB2312" w:cs="仿宋_GB2312"/>
          <w:sz w:val="32"/>
          <w:szCs w:val="32"/>
          <w:lang w:val="zh-CN" w:eastAsia="zh-CN"/>
        </w:rPr>
        <w:t>项目，</w:t>
      </w:r>
      <w:r>
        <w:rPr>
          <w:rFonts w:hint="eastAsia" w:ascii="仿宋_GB2312" w:hAnsi="仿宋_GB2312" w:eastAsia="仿宋_GB2312" w:cs="仿宋_GB2312"/>
          <w:sz w:val="32"/>
          <w:szCs w:val="32"/>
          <w:lang w:val="en-US" w:eastAsia="zh-CN"/>
        </w:rPr>
        <w:t>按照质量指标、经济效益指标、服务群众满意度指标，一是确保群众生产及生活用水得到保障，二是确保农作物及产业大户有收入，三是群众满意度得到提高。该项目于2022年12月底前全部完成，满足日常工作需要，为卫子镇建设提供坚强保障。</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（二）项目效益情况。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仿宋_GB2312" w:eastAsia="仿宋_GB2312" w:cs="仿宋_GB2312"/>
          <w:sz w:val="32"/>
          <w:szCs w:val="32"/>
          <w:lang w:val="en-US" w:eastAsia="zh-CN"/>
        </w:rPr>
        <w:t>确保群众生产及生活用水得到保障，确保农作物及产业大户有收入，群众满意度得到大大提高。</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五</w:t>
      </w:r>
      <w:r>
        <w:rPr>
          <w:rFonts w:hint="default" w:ascii="黑体" w:hAnsi="黑体" w:eastAsia="黑体" w:cs="黑体"/>
          <w:color w:val="auto"/>
          <w:kern w:val="0"/>
          <w:sz w:val="32"/>
          <w:szCs w:val="32"/>
          <w:highlight w:val="none"/>
          <w:lang w:val="en-US" w:eastAsia="zh-CN" w:bidi="ar-SA"/>
        </w:rPr>
        <w:t>、</w:t>
      </w:r>
      <w:r>
        <w:rPr>
          <w:rFonts w:hint="eastAsia" w:ascii="黑体" w:hAnsi="黑体" w:eastAsia="黑体" w:cs="黑体"/>
          <w:color w:val="auto"/>
          <w:kern w:val="0"/>
          <w:sz w:val="32"/>
          <w:szCs w:val="32"/>
          <w:highlight w:val="none"/>
          <w:lang w:val="en-US" w:eastAsia="zh-CN" w:bidi="ar-SA"/>
        </w:rPr>
        <w:t>自评结论及</w:t>
      </w:r>
      <w:r>
        <w:rPr>
          <w:rFonts w:hint="default" w:ascii="黑体" w:hAnsi="黑体" w:eastAsia="黑体" w:cs="黑体"/>
          <w:color w:val="auto"/>
          <w:kern w:val="0"/>
          <w:sz w:val="32"/>
          <w:szCs w:val="32"/>
          <w:highlight w:val="none"/>
          <w:lang w:val="en-US" w:eastAsia="zh-CN" w:bidi="ar-SA"/>
        </w:rPr>
        <w:t>建议</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Times New Roman"/>
          <w:b/>
          <w:color w:val="auto"/>
          <w:sz w:val="32"/>
          <w:szCs w:val="32"/>
          <w:highlight w:val="none"/>
          <w:lang w:val="zh-CN" w:eastAsia="zh-CN"/>
        </w:rPr>
        <w:t>（一）评价结论。</w:t>
      </w:r>
      <w:r>
        <w:rPr>
          <w:rFonts w:hint="eastAsia" w:ascii="仿宋_GB2312" w:hAnsi="仿宋_GB2312" w:eastAsia="仿宋_GB2312" w:cs="仿宋_GB2312"/>
          <w:sz w:val="32"/>
          <w:szCs w:val="32"/>
          <w:lang w:val="zh-CN" w:eastAsia="zh-CN"/>
        </w:rPr>
        <w:t>根据项目决策、管理和绩效方面分析，我镇</w:t>
      </w:r>
      <w:r>
        <w:rPr>
          <w:rFonts w:hint="eastAsia" w:ascii="仿宋_GB2312" w:hAnsi="仿宋_GB2312" w:eastAsia="仿宋_GB2312" w:cs="仿宋_GB2312"/>
          <w:sz w:val="32"/>
          <w:szCs w:val="32"/>
          <w:lang w:val="en-US" w:eastAsia="zh-CN"/>
        </w:rPr>
        <w:t>2022年关于下达2022年抗旱应急财政补助资金</w:t>
      </w:r>
      <w:r>
        <w:rPr>
          <w:rFonts w:hint="eastAsia" w:ascii="仿宋_GB2312" w:hAnsi="仿宋_GB2312" w:eastAsia="仿宋_GB2312" w:cs="仿宋_GB2312"/>
          <w:sz w:val="32"/>
          <w:szCs w:val="32"/>
          <w:lang w:val="zh-CN" w:eastAsia="zh-CN"/>
        </w:rPr>
        <w:t>项目</w:t>
      </w:r>
      <w:r>
        <w:rPr>
          <w:rFonts w:hint="eastAsia" w:ascii="仿宋_GB2312" w:hAnsi="仿宋_GB2312" w:eastAsia="仿宋_GB2312" w:cs="仿宋_GB2312"/>
          <w:sz w:val="32"/>
          <w:szCs w:val="32"/>
          <w:lang w:val="en-US" w:eastAsia="zh-CN"/>
        </w:rPr>
        <w:t>保障了人民群众生产生活用水，我镇按照《广元市昭化区人民政府办公室关于印发&lt;广元市昭化区财政支出事后绩效评价管理办法&gt;的通知》(昭府办函[2022]37号)绩效评价指标体系开展绩效评价</w:t>
      </w:r>
      <w:r>
        <w:rPr>
          <w:rFonts w:hint="eastAsia" w:ascii="仿宋_GB2312" w:hAnsi="仿宋_GB2312" w:eastAsia="仿宋_GB2312" w:cs="仿宋_GB2312"/>
          <w:sz w:val="32"/>
          <w:szCs w:val="32"/>
          <w:lang w:val="zh-CN" w:eastAsia="zh-CN"/>
        </w:rPr>
        <w:t>，自评得分为</w:t>
      </w:r>
      <w:r>
        <w:rPr>
          <w:rFonts w:hint="eastAsia" w:ascii="仿宋_GB2312" w:hAnsi="仿宋_GB2312" w:eastAsia="仿宋_GB2312" w:cs="仿宋_GB2312"/>
          <w:sz w:val="32"/>
          <w:szCs w:val="32"/>
          <w:lang w:val="en-US" w:eastAsia="zh-CN"/>
        </w:rPr>
        <w:t>98分。</w:t>
      </w:r>
    </w:p>
    <w:p>
      <w:pPr>
        <w:pageBreakBefore w:val="0"/>
        <w:kinsoku/>
        <w:wordWrap/>
        <w:overflowPunct/>
        <w:topLinePunct w:val="0"/>
        <w:autoSpaceDE w:val="0"/>
        <w:autoSpaceDN w:val="0"/>
        <w:bidi w:val="0"/>
        <w:adjustRightInd w:val="0"/>
        <w:spacing w:line="576" w:lineRule="exact"/>
        <w:ind w:firstLine="642" w:firstLineChars="200"/>
        <w:jc w:val="left"/>
        <w:textAlignment w:val="auto"/>
        <w:outlineLvl w:val="2"/>
        <w:rPr>
          <w:rFonts w:hint="default"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（二）存在的问题。</w:t>
      </w:r>
      <w:r>
        <w:rPr>
          <w:rFonts w:hint="eastAsia" w:ascii="仿宋_GB2312" w:hAnsi="仿宋_GB2312" w:eastAsia="仿宋_GB2312" w:cs="仿宋_GB2312"/>
          <w:sz w:val="32"/>
          <w:szCs w:val="32"/>
          <w:lang w:val="en-US" w:eastAsia="zh-CN"/>
        </w:rPr>
        <w:t>项目资料审核较慢，资金未及时拨付。</w:t>
      </w:r>
    </w:p>
    <w:p>
      <w:pPr>
        <w:keepNext w:val="0"/>
        <w:keepLines w:val="0"/>
        <w:pageBreakBefore w:val="0"/>
        <w:kinsoku/>
        <w:wordWrap/>
        <w:overflowPunct/>
        <w:topLinePunct w:val="0"/>
        <w:autoSpaceDE/>
        <w:bidi w:val="0"/>
        <w:adjustRightInd/>
        <w:spacing w:line="576" w:lineRule="exact"/>
        <w:ind w:left="0" w:leftChars="0" w:firstLine="642" w:firstLineChars="200"/>
        <w:jc w:val="both"/>
        <w:textAlignment w:val="auto"/>
        <w:rPr>
          <w:rFonts w:hint="eastAsia" w:ascii="仿宋_GB2312" w:hAnsi="仿宋_GB2312" w:eastAsia="仿宋_GB2312" w:cs="仿宋_GB2312"/>
          <w:sz w:val="32"/>
          <w:szCs w:val="32"/>
          <w:lang w:val="zh-CN" w:eastAsia="zh-CN"/>
        </w:rPr>
      </w:pPr>
      <w:r>
        <w:rPr>
          <w:rFonts w:hint="eastAsia" w:ascii="仿宋" w:hAnsi="仿宋" w:eastAsia="仿宋" w:cs="Times New Roman"/>
          <w:b/>
          <w:color w:val="auto"/>
          <w:sz w:val="32"/>
          <w:szCs w:val="32"/>
          <w:highlight w:val="none"/>
          <w:lang w:val="zh-CN" w:eastAsia="zh-CN"/>
        </w:rPr>
        <w:t>（三）相关建议。</w:t>
      </w:r>
      <w:r>
        <w:rPr>
          <w:rFonts w:hint="eastAsia" w:ascii="仿宋_GB2312" w:hAnsi="仿宋_GB2312" w:eastAsia="仿宋_GB2312" w:cs="仿宋_GB2312"/>
          <w:sz w:val="32"/>
          <w:szCs w:val="32"/>
          <w:lang w:val="zh-CN" w:eastAsia="zh-CN"/>
        </w:rPr>
        <w:t>加强该项目资金实施的事前、事中、事后监督，提高项目资金使用精准，加强项目资金的财务核算管理，</w:t>
      </w:r>
      <w:r>
        <w:rPr>
          <w:rFonts w:hint="eastAsia" w:ascii="仿宋_GB2312" w:hAnsi="仿宋_GB2312" w:eastAsia="仿宋_GB2312" w:cs="仿宋_GB2312"/>
          <w:sz w:val="32"/>
          <w:szCs w:val="32"/>
          <w:lang w:val="en-US" w:eastAsia="zh-CN"/>
        </w:rPr>
        <w:t>及时报送审核项目资料</w:t>
      </w:r>
      <w:r>
        <w:rPr>
          <w:rFonts w:hint="eastAsia" w:ascii="仿宋_GB2312" w:hAnsi="仿宋_GB2312" w:eastAsia="仿宋_GB2312" w:cs="仿宋_GB2312"/>
          <w:sz w:val="32"/>
          <w:szCs w:val="32"/>
          <w:lang w:val="zh-CN" w:eastAsia="zh-CN"/>
        </w:rPr>
        <w:t>。</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p>
    <w:tbl>
      <w:tblPr>
        <w:tblStyle w:val="18"/>
        <w:tblW w:w="916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7"/>
        <w:gridCol w:w="308"/>
        <w:gridCol w:w="1551"/>
        <w:gridCol w:w="624"/>
        <w:gridCol w:w="1404"/>
        <w:gridCol w:w="1457"/>
        <w:gridCol w:w="1618"/>
        <w:gridCol w:w="1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9162"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32"/>
                <w:szCs w:val="32"/>
                <w:u w:val="none"/>
                <w:lang w:val="en-US" w:eastAsia="zh-CN" w:bidi="ar"/>
              </w:rPr>
              <w:t>广元市昭化区</w:t>
            </w:r>
            <w:r>
              <w:rPr>
                <w:rFonts w:hint="eastAsia" w:ascii="方正小标宋简体" w:hAnsi="方正小标宋简体" w:eastAsia="方正小标宋简体" w:cs="方正小标宋简体"/>
                <w:i w:val="0"/>
                <w:iCs w:val="0"/>
                <w:color w:val="000000"/>
                <w:kern w:val="0"/>
                <w:sz w:val="32"/>
                <w:szCs w:val="32"/>
                <w:u w:val="none"/>
                <w:lang w:val="en-US" w:eastAsia="zh-CN" w:bidi="ar"/>
              </w:rPr>
              <w:t>2022年抗旱应急财政补助资金</w:t>
            </w:r>
            <w:r>
              <w:rPr>
                <w:rFonts w:hint="default" w:ascii="方正小标宋简体" w:hAnsi="方正小标宋简体" w:eastAsia="方正小标宋简体" w:cs="方正小标宋简体"/>
                <w:i w:val="0"/>
                <w:iCs w:val="0"/>
                <w:color w:val="000000"/>
                <w:kern w:val="0"/>
                <w:sz w:val="32"/>
                <w:szCs w:val="32"/>
                <w:u w:val="none"/>
                <w:lang w:val="en-US" w:eastAsia="zh-CN" w:bidi="ar"/>
              </w:rPr>
              <w:t>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162"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项目（政策）名称</w:t>
            </w:r>
          </w:p>
        </w:tc>
        <w:tc>
          <w:tcPr>
            <w:tcW w:w="79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关于下达2022年</w:t>
            </w:r>
            <w:r>
              <w:rPr>
                <w:rFonts w:hint="eastAsia" w:ascii="宋体" w:hAnsi="宋体" w:cs="宋体"/>
                <w:i w:val="0"/>
                <w:iCs w:val="0"/>
                <w:color w:val="000000"/>
                <w:kern w:val="0"/>
                <w:sz w:val="20"/>
                <w:szCs w:val="20"/>
                <w:u w:val="none"/>
                <w:lang w:val="en-US" w:eastAsia="zh-CN" w:bidi="ar"/>
              </w:rPr>
              <w:t>抗旱应急财政补助</w:t>
            </w:r>
            <w:r>
              <w:rPr>
                <w:rFonts w:hint="eastAsia" w:ascii="宋体" w:hAnsi="宋体" w:eastAsia="宋体" w:cs="宋体"/>
                <w:i w:val="0"/>
                <w:iCs w:val="0"/>
                <w:color w:val="000000"/>
                <w:kern w:val="0"/>
                <w:sz w:val="20"/>
                <w:szCs w:val="20"/>
                <w:u w:val="none"/>
                <w:lang w:val="en-US" w:eastAsia="zh-CN" w:bidi="ar"/>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5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w:t>
            </w:r>
            <w:r>
              <w:rPr>
                <w:rFonts w:hint="eastAsia" w:ascii="宋体" w:hAnsi="宋体" w:cs="宋体"/>
                <w:i w:val="0"/>
                <w:iCs w:val="0"/>
                <w:color w:val="000000"/>
                <w:kern w:val="0"/>
                <w:sz w:val="18"/>
                <w:szCs w:val="18"/>
                <w:u w:val="none"/>
                <w:lang w:val="en-US" w:eastAsia="zh-CN" w:bidi="ar"/>
              </w:rPr>
              <w:t>卫子</w:t>
            </w:r>
            <w:r>
              <w:rPr>
                <w:rFonts w:hint="eastAsia" w:ascii="宋体" w:hAnsi="宋体" w:eastAsia="宋体" w:cs="宋体"/>
                <w:i w:val="0"/>
                <w:iCs w:val="0"/>
                <w:color w:val="000000"/>
                <w:kern w:val="0"/>
                <w:sz w:val="18"/>
                <w:szCs w:val="18"/>
                <w:u w:val="none"/>
                <w:lang w:val="en-US" w:eastAsia="zh-CN" w:bidi="ar"/>
              </w:rPr>
              <w:t>镇人民政府</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12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卫子</w:t>
            </w:r>
            <w:r>
              <w:rPr>
                <w:rFonts w:hint="eastAsia" w:ascii="宋体" w:hAnsi="宋体" w:eastAsia="宋体" w:cs="宋体"/>
                <w:i w:val="0"/>
                <w:iCs w:val="0"/>
                <w:color w:val="000000"/>
                <w:kern w:val="0"/>
                <w:sz w:val="18"/>
                <w:szCs w:val="18"/>
                <w:u w:val="none"/>
                <w:lang w:val="en-US" w:eastAsia="zh-CN" w:bidi="ar"/>
              </w:rPr>
              <w:t>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255"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项目（政策）资金（万元）</w:t>
            </w:r>
          </w:p>
        </w:tc>
        <w:tc>
          <w:tcPr>
            <w:tcW w:w="2175"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1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调整后预算数</w:t>
            </w:r>
          </w:p>
        </w:tc>
        <w:tc>
          <w:tcPr>
            <w:tcW w:w="16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25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12</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12</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25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（一）财政拨款小计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12</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25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1.一般公共预算</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12</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12</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25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2.政府性基金</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25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3.国有资本经营预算</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25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4.社保基金</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25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（二）其他资金</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9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696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125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3"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6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default" w:ascii="仿宋_GB2312" w:hAnsi="Calibri" w:eastAsia="仿宋_GB2312" w:cs="仿宋"/>
                <w:color w:val="auto"/>
                <w:kern w:val="0"/>
                <w:sz w:val="21"/>
                <w:szCs w:val="21"/>
                <w:highlight w:val="none"/>
                <w:lang w:val="zh-CN" w:eastAsia="zh-CN" w:bidi="ar-SA"/>
              </w:rPr>
              <w:t>坚持以习近平新时代中国特色社会主义思想为指引，</w:t>
            </w:r>
            <w:r>
              <w:rPr>
                <w:rFonts w:hint="eastAsia" w:ascii="仿宋_GB2312" w:hAnsi="Calibri" w:eastAsia="仿宋_GB2312" w:cs="仿宋"/>
                <w:color w:val="auto"/>
                <w:kern w:val="0"/>
                <w:sz w:val="21"/>
                <w:szCs w:val="21"/>
                <w:highlight w:val="none"/>
                <w:lang w:val="zh-CN" w:eastAsia="zh-CN" w:bidi="ar-SA"/>
              </w:rPr>
              <w:t>立足防大汛，抗大旱抢大险救大灾，有力提升应对极端灾害的能力，确保在大灾面前生产、生活安定有序。抗旱应急财政补助</w:t>
            </w:r>
            <w:r>
              <w:rPr>
                <w:rFonts w:hint="default" w:ascii="仿宋_GB2312" w:hAnsi="Calibri" w:eastAsia="仿宋_GB2312" w:cs="仿宋"/>
                <w:color w:val="auto"/>
                <w:kern w:val="0"/>
                <w:sz w:val="21"/>
                <w:szCs w:val="21"/>
                <w:highlight w:val="none"/>
                <w:lang w:val="zh-CN" w:eastAsia="zh-CN" w:bidi="ar-SA"/>
              </w:rPr>
              <w:t>资金主要用于</w:t>
            </w:r>
            <w:r>
              <w:rPr>
                <w:rFonts w:hint="eastAsia" w:ascii="仿宋_GB2312" w:hAnsi="Calibri" w:eastAsia="仿宋_GB2312" w:cs="仿宋"/>
                <w:color w:val="auto"/>
                <w:kern w:val="0"/>
                <w:sz w:val="21"/>
                <w:szCs w:val="21"/>
                <w:highlight w:val="none"/>
                <w:lang w:val="zh-CN" w:eastAsia="zh-CN" w:bidi="ar-SA"/>
              </w:rPr>
              <w:t>解决抗旱工作中的人力、设施设备、应急抢险、临时抽送水油料等费用保障，</w:t>
            </w:r>
            <w:r>
              <w:rPr>
                <w:rFonts w:hint="eastAsia" w:ascii="仿宋_GB2312" w:hAnsi="Calibri" w:eastAsia="仿宋_GB2312" w:cs="仿宋"/>
                <w:color w:val="auto"/>
                <w:kern w:val="0"/>
                <w:sz w:val="21"/>
                <w:szCs w:val="21"/>
                <w:highlight w:val="none"/>
                <w:lang w:val="en-US" w:eastAsia="zh-CN" w:bidi="ar-SA"/>
              </w:rPr>
              <w:t>为卫子镇建设提供坚强保障。</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Calibri" w:eastAsia="仿宋_GB2312" w:cs="仿宋"/>
                <w:color w:val="auto"/>
                <w:kern w:val="0"/>
                <w:sz w:val="16"/>
                <w:szCs w:val="16"/>
                <w:highlight w:val="none"/>
                <w:lang w:val="zh-CN" w:eastAsia="zh-CN" w:bidi="ar-SA"/>
              </w:rPr>
            </w:pPr>
            <w:r>
              <w:rPr>
                <w:rFonts w:hint="eastAsia" w:ascii="仿宋_GB2312" w:hAnsi="Calibri" w:eastAsia="仿宋_GB2312" w:cs="仿宋"/>
                <w:color w:val="auto"/>
                <w:kern w:val="0"/>
                <w:sz w:val="16"/>
                <w:szCs w:val="16"/>
                <w:highlight w:val="none"/>
                <w:lang w:val="en-US" w:eastAsia="zh-CN" w:bidi="ar-SA"/>
              </w:rPr>
              <w:t>一是确保群众生产及生活用水得到保障，二是确保农作物及产业大户有收入，三是群众满意度得到提高。该项目于2022年12月底前全部完成，满足日常工作需要，为卫子镇建设提供坚强保障。</w:t>
            </w:r>
          </w:p>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947"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绩效指标</w:t>
            </w:r>
          </w:p>
        </w:tc>
        <w:tc>
          <w:tcPr>
            <w:tcW w:w="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二级指标</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三级指标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指标值</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308"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产出</w:t>
            </w:r>
          </w:p>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指标</w:t>
            </w:r>
          </w:p>
        </w:tc>
        <w:tc>
          <w:tcPr>
            <w:tcW w:w="155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质量指标</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bidi="ar"/>
              </w:rPr>
              <w:t>确保群众生产及生活用水</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w:t>
            </w: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100%</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效益指标</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20"/>
                <w:szCs w:val="20"/>
                <w:u w:val="none"/>
                <w:lang w:val="en-US" w:eastAsia="zh-CN" w:bidi="ar"/>
              </w:rPr>
              <w:t>经济</w:t>
            </w:r>
            <w:r>
              <w:rPr>
                <w:rFonts w:hint="eastAsia" w:ascii="宋体" w:hAnsi="宋体" w:eastAsia="宋体" w:cs="宋体"/>
                <w:i w:val="0"/>
                <w:iCs w:val="0"/>
                <w:color w:val="000000"/>
                <w:kern w:val="0"/>
                <w:sz w:val="20"/>
                <w:szCs w:val="20"/>
                <w:u w:val="none"/>
                <w:lang w:val="en-US" w:eastAsia="zh-CN" w:bidi="ar"/>
              </w:rPr>
              <w:t>效益指标</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宋体" w:hAnsi="宋体" w:cs="宋体"/>
                <w:i w:val="0"/>
                <w:iCs w:val="0"/>
                <w:color w:val="000000"/>
                <w:kern w:val="0"/>
                <w:sz w:val="20"/>
                <w:szCs w:val="20"/>
                <w:u w:val="none"/>
                <w:lang w:val="en-US" w:eastAsia="zh-CN" w:bidi="ar"/>
              </w:rPr>
              <w:t>农作物及产业大户收益</w:t>
            </w: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85</w:t>
            </w:r>
            <w:r>
              <w:rPr>
                <w:rFonts w:hint="eastAsia" w:ascii="宋体" w:hAnsi="宋体" w:eastAsia="宋体" w:cs="宋体"/>
                <w:i w:val="0"/>
                <w:iCs w:val="0"/>
                <w:color w:val="000000"/>
                <w:kern w:val="0"/>
                <w:sz w:val="18"/>
                <w:szCs w:val="18"/>
                <w:u w:val="none"/>
                <w:lang w:val="en-US" w:eastAsia="zh-CN" w:bidi="ar"/>
              </w:rPr>
              <w:t>%</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20"/>
                <w:szCs w:val="20"/>
                <w:u w:val="none"/>
                <w:lang w:val="en-US" w:eastAsia="zh-CN" w:bidi="ar"/>
              </w:rPr>
              <w:t>90%</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2"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满意度指标</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群众满意度</w:t>
            </w: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98%</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2" w:hRule="atLeast"/>
        </w:trPr>
        <w:tc>
          <w:tcPr>
            <w:tcW w:w="6291" w:type="dxa"/>
            <w:gridSpan w:val="6"/>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总分</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98分</w:t>
            </w:r>
          </w:p>
        </w:tc>
      </w:tr>
    </w:tbl>
    <w:p>
      <w:pPr>
        <w:pStyle w:val="16"/>
        <w:widowControl/>
        <w:shd w:val="clear" w:color="auto" w:fill="FFFFFF"/>
        <w:spacing w:beforeAutospacing="0" w:afterAutospacing="0" w:line="30" w:lineRule="atLeast"/>
        <w:ind w:firstLine="640" w:firstLineChars="200"/>
        <w:jc w:val="both"/>
        <w:textAlignment w:val="center"/>
        <w:rPr>
          <w:rFonts w:hint="eastAsia" w:eastAsia="仿宋_GB2312"/>
          <w:sz w:val="32"/>
          <w:szCs w:val="32"/>
          <w:highlight w:val="red"/>
          <w:lang w:val="en-US" w:eastAsia="zh-CN"/>
        </w:rPr>
      </w:pPr>
    </w:p>
    <w:p>
      <w:pPr>
        <w:pStyle w:val="3"/>
        <w:snapToGrid w:val="0"/>
        <w:spacing w:beforeLines="50" w:afterLines="50" w:line="576" w:lineRule="exact"/>
        <w:jc w:val="center"/>
        <w:rPr>
          <w:rFonts w:ascii="方正小标宋简体" w:hAnsi="方正小标宋简体" w:eastAsia="方正小标宋简体" w:cs="方正小标宋简体"/>
          <w:b w:val="0"/>
        </w:rPr>
      </w:pPr>
      <w:r>
        <w:rPr>
          <w:rFonts w:ascii="方正小标宋简体" w:hAnsi="方正小标宋简体" w:eastAsia="方正小标宋简体" w:cs="方正小标宋简体"/>
          <w:b w:val="0"/>
        </w:rPr>
        <w:t>第五部分</w:t>
      </w:r>
      <w:r>
        <w:rPr>
          <w:rFonts w:hint="eastAsia" w:ascii="方正小标宋简体" w:hAnsi="方正小标宋简体" w:eastAsia="方正小标宋简体" w:cs="方正小标宋简体"/>
          <w:b w:val="0"/>
        </w:rPr>
        <w:t xml:space="preserve">  </w:t>
      </w:r>
      <w:r>
        <w:rPr>
          <w:rFonts w:ascii="方正小标宋简体" w:hAnsi="方正小标宋简体" w:eastAsia="方正小标宋简体" w:cs="方正小标宋简体"/>
          <w:b w:val="0"/>
        </w:rPr>
        <w:t>附表</w:t>
      </w:r>
      <w:bookmarkEnd w:id="71"/>
      <w:bookmarkEnd w:id="73"/>
      <w:bookmarkEnd w:id="74"/>
      <w:bookmarkStart w:id="75" w:name="_Toc15396619"/>
    </w:p>
    <w:p>
      <w:pPr>
        <w:pStyle w:val="4"/>
        <w:snapToGrid w:val="0"/>
        <w:spacing w:before="0" w:after="0" w:line="576" w:lineRule="exact"/>
        <w:ind w:firstLine="640" w:firstLineChars="200"/>
        <w:rPr>
          <w:rFonts w:ascii="黑体" w:hAnsi="黑体" w:eastAsia="黑体" w:cs="黑体"/>
          <w:b w:val="0"/>
        </w:rPr>
      </w:pPr>
      <w:bookmarkStart w:id="76" w:name="_Toc21311"/>
      <w:r>
        <w:rPr>
          <w:rFonts w:ascii="黑体" w:hAnsi="黑体" w:eastAsia="黑体" w:cs="黑体"/>
          <w:b w:val="0"/>
        </w:rPr>
        <w:t>一、收入支出决算总表</w:t>
      </w:r>
      <w:bookmarkEnd w:id="75"/>
      <w:bookmarkEnd w:id="76"/>
    </w:p>
    <w:p>
      <w:pPr>
        <w:pStyle w:val="4"/>
        <w:snapToGrid w:val="0"/>
        <w:spacing w:before="0" w:after="0" w:line="576" w:lineRule="exact"/>
        <w:ind w:firstLine="640" w:firstLineChars="200"/>
        <w:rPr>
          <w:rFonts w:ascii="黑体" w:hAnsi="黑体" w:eastAsia="黑体" w:cs="黑体"/>
          <w:b w:val="0"/>
        </w:rPr>
      </w:pPr>
      <w:bookmarkStart w:id="77" w:name="_Toc15396620"/>
      <w:bookmarkStart w:id="78" w:name="_Toc26703"/>
      <w:r>
        <w:rPr>
          <w:rFonts w:ascii="黑体" w:hAnsi="黑体" w:eastAsia="黑体" w:cs="黑体"/>
          <w:b w:val="0"/>
        </w:rPr>
        <w:t>二、收入决算表</w:t>
      </w:r>
      <w:bookmarkEnd w:id="77"/>
      <w:bookmarkEnd w:id="78"/>
    </w:p>
    <w:p>
      <w:pPr>
        <w:pStyle w:val="4"/>
        <w:snapToGrid w:val="0"/>
        <w:spacing w:before="0" w:after="0" w:line="576" w:lineRule="exact"/>
        <w:ind w:firstLine="640" w:firstLineChars="200"/>
        <w:rPr>
          <w:rFonts w:ascii="黑体" w:hAnsi="黑体" w:eastAsia="黑体" w:cs="黑体"/>
          <w:b w:val="0"/>
        </w:rPr>
      </w:pPr>
      <w:bookmarkStart w:id="79" w:name="_Toc15396621"/>
      <w:bookmarkStart w:id="80" w:name="_Toc1815"/>
      <w:r>
        <w:rPr>
          <w:rFonts w:ascii="黑体" w:hAnsi="黑体" w:eastAsia="黑体" w:cs="黑体"/>
          <w:b w:val="0"/>
        </w:rPr>
        <w:t>三、支出决算表</w:t>
      </w:r>
      <w:bookmarkEnd w:id="79"/>
      <w:bookmarkEnd w:id="80"/>
    </w:p>
    <w:p>
      <w:pPr>
        <w:pStyle w:val="4"/>
        <w:snapToGrid w:val="0"/>
        <w:spacing w:before="0" w:after="0" w:line="576" w:lineRule="exact"/>
        <w:ind w:firstLine="640" w:firstLineChars="200"/>
        <w:rPr>
          <w:rFonts w:ascii="黑体" w:hAnsi="黑体" w:eastAsia="黑体" w:cs="黑体"/>
          <w:b w:val="0"/>
        </w:rPr>
      </w:pPr>
      <w:bookmarkStart w:id="81" w:name="_Toc24200"/>
      <w:bookmarkStart w:id="82" w:name="_Toc15396622"/>
      <w:r>
        <w:rPr>
          <w:rFonts w:ascii="黑体" w:hAnsi="黑体" w:eastAsia="黑体" w:cs="黑体"/>
          <w:b w:val="0"/>
        </w:rPr>
        <w:t>四、财政拨款收入支出决算总表</w:t>
      </w:r>
      <w:bookmarkEnd w:id="81"/>
      <w:bookmarkEnd w:id="82"/>
    </w:p>
    <w:p>
      <w:pPr>
        <w:pStyle w:val="4"/>
        <w:snapToGrid w:val="0"/>
        <w:spacing w:before="0" w:after="0" w:line="576" w:lineRule="exact"/>
        <w:ind w:firstLine="640" w:firstLineChars="200"/>
        <w:rPr>
          <w:rFonts w:ascii="黑体" w:hAnsi="黑体" w:eastAsia="黑体" w:cs="黑体"/>
          <w:b w:val="0"/>
        </w:rPr>
      </w:pPr>
      <w:bookmarkStart w:id="83" w:name="_Toc5066"/>
      <w:bookmarkStart w:id="84" w:name="_Toc15396623"/>
      <w:r>
        <w:rPr>
          <w:rFonts w:ascii="黑体" w:hAnsi="黑体" w:eastAsia="黑体" w:cs="黑体"/>
          <w:b w:val="0"/>
        </w:rPr>
        <w:t>五、财政拨款支出决算明细表</w:t>
      </w:r>
      <w:bookmarkEnd w:id="83"/>
      <w:bookmarkEnd w:id="84"/>
      <w:bookmarkStart w:id="85" w:name="_Toc15396624"/>
    </w:p>
    <w:p>
      <w:pPr>
        <w:pStyle w:val="4"/>
        <w:snapToGrid w:val="0"/>
        <w:spacing w:before="0" w:after="0" w:line="576" w:lineRule="exact"/>
        <w:ind w:firstLine="640" w:firstLineChars="200"/>
        <w:rPr>
          <w:rFonts w:ascii="黑体" w:hAnsi="黑体" w:eastAsia="黑体" w:cs="黑体"/>
          <w:b w:val="0"/>
        </w:rPr>
      </w:pPr>
      <w:bookmarkStart w:id="86" w:name="_Toc31860"/>
      <w:r>
        <w:rPr>
          <w:rFonts w:ascii="黑体" w:hAnsi="黑体" w:eastAsia="黑体" w:cs="黑体"/>
          <w:b w:val="0"/>
        </w:rPr>
        <w:t>六、一般公共</w:t>
      </w:r>
      <w:r>
        <w:rPr>
          <w:rFonts w:hint="eastAsia" w:ascii="黑体" w:hAnsi="黑体" w:eastAsia="黑体" w:cs="黑体"/>
          <w:b w:val="0"/>
          <w:lang w:eastAsia="zh-CN"/>
        </w:rPr>
        <w:t>预算</w:t>
      </w:r>
      <w:r>
        <w:rPr>
          <w:rFonts w:ascii="黑体" w:hAnsi="黑体" w:eastAsia="黑体" w:cs="黑体"/>
          <w:b w:val="0"/>
        </w:rPr>
        <w:t>财政拨款支出决算表</w:t>
      </w:r>
      <w:bookmarkEnd w:id="85"/>
      <w:bookmarkEnd w:id="86"/>
    </w:p>
    <w:p>
      <w:pPr>
        <w:pStyle w:val="4"/>
        <w:snapToGrid w:val="0"/>
        <w:spacing w:before="0" w:after="0" w:line="576" w:lineRule="exact"/>
        <w:ind w:firstLine="640" w:firstLineChars="200"/>
        <w:rPr>
          <w:rFonts w:ascii="黑体" w:hAnsi="黑体" w:eastAsia="黑体" w:cs="黑体"/>
          <w:b w:val="0"/>
        </w:rPr>
      </w:pPr>
      <w:bookmarkStart w:id="87" w:name="_Toc14228"/>
      <w:bookmarkStart w:id="88" w:name="_Toc15396625"/>
      <w:r>
        <w:rPr>
          <w:rFonts w:ascii="黑体" w:hAnsi="黑体" w:eastAsia="黑体" w:cs="黑体"/>
          <w:b w:val="0"/>
        </w:rPr>
        <w:t>七、一般公共</w:t>
      </w:r>
      <w:r>
        <w:rPr>
          <w:rFonts w:hint="eastAsia" w:ascii="黑体" w:hAnsi="黑体" w:eastAsia="黑体" w:cs="黑体"/>
          <w:b w:val="0"/>
          <w:lang w:eastAsia="zh-CN"/>
        </w:rPr>
        <w:t>预算</w:t>
      </w:r>
      <w:r>
        <w:rPr>
          <w:rFonts w:ascii="黑体" w:hAnsi="黑体" w:eastAsia="黑体" w:cs="黑体"/>
          <w:b w:val="0"/>
        </w:rPr>
        <w:t>财政拨款支出决算明细表</w:t>
      </w:r>
      <w:bookmarkEnd w:id="87"/>
      <w:bookmarkEnd w:id="88"/>
    </w:p>
    <w:p>
      <w:pPr>
        <w:pStyle w:val="4"/>
        <w:snapToGrid w:val="0"/>
        <w:spacing w:before="0" w:after="0" w:line="576" w:lineRule="exact"/>
        <w:ind w:firstLine="640" w:firstLineChars="200"/>
        <w:rPr>
          <w:rFonts w:ascii="黑体" w:hAnsi="黑体" w:eastAsia="黑体" w:cs="黑体"/>
          <w:b w:val="0"/>
        </w:rPr>
      </w:pPr>
      <w:bookmarkStart w:id="89" w:name="_Toc15245"/>
      <w:bookmarkStart w:id="90" w:name="_Toc15396626"/>
      <w:r>
        <w:rPr>
          <w:rFonts w:ascii="黑体" w:hAnsi="黑体" w:eastAsia="黑体" w:cs="黑体"/>
          <w:b w:val="0"/>
        </w:rPr>
        <w:t>八、一般公共</w:t>
      </w:r>
      <w:r>
        <w:rPr>
          <w:rFonts w:hint="eastAsia" w:ascii="黑体" w:hAnsi="黑体" w:eastAsia="黑体" w:cs="黑体"/>
          <w:b w:val="0"/>
          <w:lang w:eastAsia="zh-CN"/>
        </w:rPr>
        <w:t>预算</w:t>
      </w:r>
      <w:r>
        <w:rPr>
          <w:rFonts w:ascii="黑体" w:hAnsi="黑体" w:eastAsia="黑体" w:cs="黑体"/>
          <w:b w:val="0"/>
        </w:rPr>
        <w:t>财政拨款基本支出决算表</w:t>
      </w:r>
      <w:bookmarkEnd w:id="89"/>
      <w:bookmarkEnd w:id="90"/>
    </w:p>
    <w:p>
      <w:pPr>
        <w:pStyle w:val="4"/>
        <w:snapToGrid w:val="0"/>
        <w:spacing w:before="0" w:after="0" w:line="576" w:lineRule="exact"/>
        <w:ind w:firstLine="640" w:firstLineChars="200"/>
        <w:rPr>
          <w:rFonts w:ascii="黑体" w:hAnsi="黑体" w:eastAsia="黑体" w:cs="黑体"/>
          <w:b w:val="0"/>
        </w:rPr>
      </w:pPr>
      <w:bookmarkStart w:id="91" w:name="_Toc15396627"/>
      <w:bookmarkStart w:id="92" w:name="_Toc4491"/>
      <w:r>
        <w:rPr>
          <w:rFonts w:ascii="黑体" w:hAnsi="黑体" w:eastAsia="黑体" w:cs="黑体"/>
          <w:b w:val="0"/>
        </w:rPr>
        <w:t>九、一般公共</w:t>
      </w:r>
      <w:r>
        <w:rPr>
          <w:rFonts w:hint="eastAsia" w:ascii="黑体" w:hAnsi="黑体" w:eastAsia="黑体" w:cs="黑体"/>
          <w:b w:val="0"/>
          <w:lang w:eastAsia="zh-CN"/>
        </w:rPr>
        <w:t>预算</w:t>
      </w:r>
      <w:r>
        <w:rPr>
          <w:rFonts w:ascii="黑体" w:hAnsi="黑体" w:eastAsia="黑体" w:cs="黑体"/>
          <w:b w:val="0"/>
        </w:rPr>
        <w:t>财政拨款项目支出决算表</w:t>
      </w:r>
      <w:bookmarkEnd w:id="91"/>
      <w:bookmarkEnd w:id="92"/>
    </w:p>
    <w:p>
      <w:pPr>
        <w:pStyle w:val="4"/>
        <w:snapToGrid w:val="0"/>
        <w:spacing w:before="0" w:after="0" w:line="576" w:lineRule="exact"/>
        <w:ind w:firstLine="640" w:firstLineChars="200"/>
        <w:rPr>
          <w:rFonts w:ascii="黑体" w:hAnsi="黑体" w:eastAsia="黑体" w:cs="黑体"/>
          <w:b w:val="0"/>
        </w:rPr>
      </w:pPr>
      <w:bookmarkStart w:id="93" w:name="_Toc16547"/>
      <w:bookmarkStart w:id="94" w:name="_Toc15396629"/>
      <w:r>
        <w:rPr>
          <w:rFonts w:ascii="黑体" w:hAnsi="黑体" w:eastAsia="黑体" w:cs="黑体"/>
          <w:b w:val="0"/>
        </w:rPr>
        <w:t>十、政府性基金</w:t>
      </w:r>
      <w:r>
        <w:rPr>
          <w:rFonts w:hint="eastAsia" w:ascii="黑体" w:hAnsi="黑体" w:eastAsia="黑体" w:cs="黑体"/>
          <w:b w:val="0"/>
          <w:lang w:eastAsia="zh-CN"/>
        </w:rPr>
        <w:t>预算</w:t>
      </w:r>
      <w:r>
        <w:rPr>
          <w:rFonts w:ascii="黑体" w:hAnsi="黑体" w:eastAsia="黑体" w:cs="黑体"/>
          <w:b w:val="0"/>
        </w:rPr>
        <w:t>财政拨款收入支出决算表</w:t>
      </w:r>
      <w:bookmarkEnd w:id="93"/>
      <w:bookmarkEnd w:id="94"/>
    </w:p>
    <w:p>
      <w:pPr>
        <w:pStyle w:val="4"/>
        <w:snapToGrid w:val="0"/>
        <w:spacing w:before="0" w:after="0" w:line="576" w:lineRule="exact"/>
        <w:ind w:firstLine="640" w:firstLineChars="200"/>
        <w:rPr>
          <w:rFonts w:ascii="黑体" w:hAnsi="黑体" w:eastAsia="黑体" w:cs="黑体"/>
          <w:b w:val="0"/>
        </w:rPr>
      </w:pPr>
      <w:bookmarkStart w:id="95" w:name="_Toc15396631"/>
      <w:bookmarkStart w:id="96" w:name="_Toc15282"/>
      <w:r>
        <w:rPr>
          <w:rFonts w:ascii="黑体" w:hAnsi="黑体" w:eastAsia="黑体" w:cs="黑体"/>
          <w:b w:val="0"/>
        </w:rPr>
        <w:t>十</w:t>
      </w:r>
      <w:r>
        <w:rPr>
          <w:rFonts w:hint="eastAsia" w:ascii="黑体" w:hAnsi="黑体" w:eastAsia="黑体" w:cs="黑体"/>
          <w:b w:val="0"/>
          <w:lang w:eastAsia="zh-CN"/>
        </w:rPr>
        <w:t>一</w:t>
      </w:r>
      <w:r>
        <w:rPr>
          <w:rFonts w:ascii="黑体" w:hAnsi="黑体" w:eastAsia="黑体" w:cs="黑体"/>
          <w:b w:val="0"/>
        </w:rPr>
        <w:t>、国有资本经营</w:t>
      </w:r>
      <w:r>
        <w:rPr>
          <w:rFonts w:hint="eastAsia" w:ascii="黑体" w:hAnsi="黑体" w:eastAsia="黑体" w:cs="黑体"/>
          <w:b w:val="0"/>
          <w:lang w:eastAsia="zh-CN"/>
        </w:rPr>
        <w:t>预算</w:t>
      </w:r>
      <w:r>
        <w:rPr>
          <w:rFonts w:ascii="黑体" w:hAnsi="黑体" w:eastAsia="黑体" w:cs="黑体"/>
          <w:b w:val="0"/>
        </w:rPr>
        <w:t>财政拨款收入支出决算表</w:t>
      </w:r>
      <w:bookmarkEnd w:id="95"/>
      <w:bookmarkEnd w:id="96"/>
    </w:p>
    <w:p>
      <w:pPr>
        <w:pStyle w:val="4"/>
        <w:snapToGrid w:val="0"/>
        <w:spacing w:before="0" w:after="0" w:line="576" w:lineRule="exact"/>
        <w:ind w:firstLine="640" w:firstLineChars="200"/>
        <w:rPr>
          <w:rFonts w:ascii="黑体" w:hAnsi="黑体" w:eastAsia="黑体" w:cs="黑体"/>
          <w:b w:val="0"/>
        </w:rPr>
      </w:pPr>
      <w:bookmarkStart w:id="97" w:name="_Toc5504"/>
      <w:r>
        <w:rPr>
          <w:rFonts w:ascii="黑体" w:hAnsi="黑体" w:eastAsia="黑体" w:cs="黑体"/>
          <w:b w:val="0"/>
        </w:rPr>
        <w:t>十</w:t>
      </w:r>
      <w:r>
        <w:rPr>
          <w:rFonts w:hint="eastAsia" w:ascii="黑体" w:hAnsi="黑体" w:eastAsia="黑体" w:cs="黑体"/>
          <w:b w:val="0"/>
          <w:lang w:eastAsia="zh-CN"/>
        </w:rPr>
        <w:t>二</w:t>
      </w:r>
      <w:r>
        <w:rPr>
          <w:rFonts w:ascii="黑体" w:hAnsi="黑体" w:eastAsia="黑体" w:cs="黑体"/>
          <w:b w:val="0"/>
        </w:rPr>
        <w:t>、国有资本经营</w:t>
      </w:r>
      <w:r>
        <w:rPr>
          <w:rFonts w:hint="eastAsia" w:ascii="黑体" w:hAnsi="黑体" w:eastAsia="黑体" w:cs="黑体"/>
          <w:b w:val="0"/>
          <w:lang w:eastAsia="zh-CN"/>
        </w:rPr>
        <w:t>预算</w:t>
      </w:r>
      <w:r>
        <w:rPr>
          <w:rFonts w:ascii="黑体" w:hAnsi="黑体" w:eastAsia="黑体" w:cs="黑体"/>
          <w:b w:val="0"/>
        </w:rPr>
        <w:t>财政拨款支出决算表</w:t>
      </w:r>
      <w:bookmarkEnd w:id="97"/>
    </w:p>
    <w:p>
      <w:pPr>
        <w:ind w:firstLine="640" w:firstLineChars="200"/>
        <w:rPr>
          <w:rFonts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十三、财政拨款“三公”经费支出决算表</w:t>
      </w:r>
    </w:p>
    <w:sectPr>
      <w:headerReference r:id="rId3" w:type="default"/>
      <w:footerReference r:id="rId4" w:type="default"/>
      <w:pgSz w:w="11906" w:h="16838"/>
      <w:pgMar w:top="2098" w:right="1474" w:bottom="1984"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Comic Sans MS">
    <w:panose1 w:val="030F0702030302020204"/>
    <w:charset w:val="00"/>
    <w:family w:val="auto"/>
    <w:pitch w:val="default"/>
    <w:sig w:usb0="00000287" w:usb1="00000000" w:usb2="00000000" w:usb3="00000000" w:csb0="2000009F"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2"/>
          <w:jc w:val="center"/>
        </w:pPr>
        <w:r>
          <w:fldChar w:fldCharType="begin"/>
        </w:r>
        <w:r>
          <w:instrText xml:space="preserve">PAGE   \* MERGEFORMAT</w:instrText>
        </w:r>
        <w:r>
          <w:fldChar w:fldCharType="separate"/>
        </w:r>
        <w:r>
          <w:rPr>
            <w:lang w:val="zh-CN"/>
          </w:rPr>
          <w:t>24</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29DFBE"/>
    <w:multiLevelType w:val="singleLevel"/>
    <w:tmpl w:val="BC29DFBE"/>
    <w:lvl w:ilvl="0" w:tentative="0">
      <w:start w:val="1"/>
      <w:numFmt w:val="chineseCounting"/>
      <w:suff w:val="nothing"/>
      <w:lvlText w:val="（%1）"/>
      <w:lvlJc w:val="left"/>
      <w:rPr>
        <w:rFonts w:hint="eastAsia"/>
      </w:rPr>
    </w:lvl>
  </w:abstractNum>
  <w:abstractNum w:abstractNumId="1">
    <w:nsid w:val="C04C4D2E"/>
    <w:multiLevelType w:val="singleLevel"/>
    <w:tmpl w:val="C04C4D2E"/>
    <w:lvl w:ilvl="0" w:tentative="0">
      <w:start w:val="1"/>
      <w:numFmt w:val="chineseCounting"/>
      <w:suff w:val="nothing"/>
      <w:lvlText w:val="（%1）"/>
      <w:lvlJc w:val="left"/>
      <w:rPr>
        <w:rFonts w:hint="eastAsia"/>
      </w:rPr>
    </w:lvl>
  </w:abstractNum>
  <w:abstractNum w:abstractNumId="2">
    <w:nsid w:val="CEE8E9D7"/>
    <w:multiLevelType w:val="singleLevel"/>
    <w:tmpl w:val="CEE8E9D7"/>
    <w:lvl w:ilvl="0" w:tentative="0">
      <w:start w:val="1"/>
      <w:numFmt w:val="chineseCounting"/>
      <w:suff w:val="nothing"/>
      <w:lvlText w:val="%1、"/>
      <w:lvlJc w:val="left"/>
      <w:rPr>
        <w:rFonts w:hint="eastAsia"/>
      </w:rPr>
    </w:lvl>
  </w:abstractNum>
  <w:abstractNum w:abstractNumId="3">
    <w:nsid w:val="E6121BE8"/>
    <w:multiLevelType w:val="singleLevel"/>
    <w:tmpl w:val="E6121BE8"/>
    <w:lvl w:ilvl="0" w:tentative="0">
      <w:start w:val="2"/>
      <w:numFmt w:val="chineseCounting"/>
      <w:suff w:val="nothing"/>
      <w:lvlText w:val="%1、"/>
      <w:lvlJc w:val="left"/>
      <w:rPr>
        <w:rFonts w:hint="eastAsia"/>
      </w:rPr>
    </w:lvl>
  </w:abstractNum>
  <w:abstractNum w:abstractNumId="4">
    <w:nsid w:val="FAE29C47"/>
    <w:multiLevelType w:val="singleLevel"/>
    <w:tmpl w:val="FAE29C47"/>
    <w:lvl w:ilvl="0" w:tentative="0">
      <w:start w:val="1"/>
      <w:numFmt w:val="chineseCounting"/>
      <w:suff w:val="nothing"/>
      <w:lvlText w:val="（%1）"/>
      <w:lvlJc w:val="left"/>
      <w:rPr>
        <w:rFonts w:hint="eastAsia"/>
      </w:rPr>
    </w:lvl>
  </w:abstractNum>
  <w:abstractNum w:abstractNumId="5">
    <w:nsid w:val="FAF8B3D5"/>
    <w:multiLevelType w:val="singleLevel"/>
    <w:tmpl w:val="FAF8B3D5"/>
    <w:lvl w:ilvl="0" w:tentative="0">
      <w:start w:val="1"/>
      <w:numFmt w:val="chineseCounting"/>
      <w:suff w:val="nothing"/>
      <w:lvlText w:val="（%1）"/>
      <w:lvlJc w:val="left"/>
      <w:rPr>
        <w:rFonts w:hint="eastAsia"/>
      </w:rPr>
    </w:lvl>
  </w:abstractNum>
  <w:abstractNum w:abstractNumId="6">
    <w:nsid w:val="0D5F8E5E"/>
    <w:multiLevelType w:val="singleLevel"/>
    <w:tmpl w:val="0D5F8E5E"/>
    <w:lvl w:ilvl="0" w:tentative="0">
      <w:start w:val="3"/>
      <w:numFmt w:val="chineseCounting"/>
      <w:suff w:val="nothing"/>
      <w:lvlText w:val="%1、"/>
      <w:lvlJc w:val="left"/>
      <w:rPr>
        <w:rFonts w:hint="eastAsia"/>
      </w:rPr>
    </w:lvl>
  </w:abstractNum>
  <w:abstractNum w:abstractNumId="7">
    <w:nsid w:val="39F07D25"/>
    <w:multiLevelType w:val="singleLevel"/>
    <w:tmpl w:val="39F07D25"/>
    <w:lvl w:ilvl="0" w:tentative="0">
      <w:start w:val="4"/>
      <w:numFmt w:val="chineseCounting"/>
      <w:suff w:val="nothing"/>
      <w:lvlText w:val="%1、"/>
      <w:lvlJc w:val="left"/>
      <w:rPr>
        <w:rFonts w:hint="eastAsia"/>
      </w:rPr>
    </w:lvl>
  </w:abstractNum>
  <w:abstractNum w:abstractNumId="8">
    <w:nsid w:val="5A979320"/>
    <w:multiLevelType w:val="singleLevel"/>
    <w:tmpl w:val="5A979320"/>
    <w:lvl w:ilvl="0" w:tentative="0">
      <w:start w:val="2"/>
      <w:numFmt w:val="chineseCounting"/>
      <w:suff w:val="nothing"/>
      <w:lvlText w:val="（%1）"/>
      <w:lvlJc w:val="left"/>
      <w:rPr>
        <w:rFonts w:hint="eastAsia"/>
      </w:rPr>
    </w:lvl>
  </w:abstractNum>
  <w:abstractNum w:abstractNumId="9">
    <w:nsid w:val="61D4B141"/>
    <w:multiLevelType w:val="singleLevel"/>
    <w:tmpl w:val="61D4B141"/>
    <w:lvl w:ilvl="0" w:tentative="0">
      <w:start w:val="2"/>
      <w:numFmt w:val="chineseCounting"/>
      <w:suff w:val="nothing"/>
      <w:lvlText w:val="（%1）"/>
      <w:lvlJc w:val="left"/>
      <w:rPr>
        <w:rFonts w:hint="eastAsia"/>
      </w:rPr>
    </w:lvl>
  </w:abstractNum>
  <w:abstractNum w:abstractNumId="10">
    <w:nsid w:val="63F481D1"/>
    <w:multiLevelType w:val="singleLevel"/>
    <w:tmpl w:val="63F481D1"/>
    <w:lvl w:ilvl="0" w:tentative="0">
      <w:start w:val="1"/>
      <w:numFmt w:val="chineseCounting"/>
      <w:suff w:val="nothing"/>
      <w:lvlText w:val="%1、"/>
      <w:lvlJc w:val="left"/>
    </w:lvl>
  </w:abstractNum>
  <w:abstractNum w:abstractNumId="11">
    <w:nsid w:val="7CB8E786"/>
    <w:multiLevelType w:val="singleLevel"/>
    <w:tmpl w:val="7CB8E786"/>
    <w:lvl w:ilvl="0" w:tentative="0">
      <w:start w:val="2"/>
      <w:numFmt w:val="chineseCounting"/>
      <w:suff w:val="nothing"/>
      <w:lvlText w:val="（%1）"/>
      <w:lvlJc w:val="left"/>
      <w:rPr>
        <w:rFonts w:hint="eastAsia"/>
      </w:rPr>
    </w:lvl>
  </w:abstractNum>
  <w:num w:numId="1">
    <w:abstractNumId w:val="11"/>
  </w:num>
  <w:num w:numId="2">
    <w:abstractNumId w:val="3"/>
  </w:num>
  <w:num w:numId="3">
    <w:abstractNumId w:val="1"/>
  </w:num>
  <w:num w:numId="4">
    <w:abstractNumId w:val="9"/>
  </w:num>
  <w:num w:numId="5">
    <w:abstractNumId w:val="6"/>
  </w:num>
  <w:num w:numId="6">
    <w:abstractNumId w:val="7"/>
  </w:num>
  <w:num w:numId="7">
    <w:abstractNumId w:val="10"/>
  </w:num>
  <w:num w:numId="8">
    <w:abstractNumId w:val="8"/>
  </w:num>
  <w:num w:numId="9">
    <w:abstractNumId w:val="2"/>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iZTc3YTMwYjQwMGNjY2FlN2ZlMmQ5NDIwMzIzMWQifQ=="/>
  </w:docVars>
  <w:rsids>
    <w:rsidRoot w:val="00F1361C"/>
    <w:rsid w:val="00016327"/>
    <w:rsid w:val="000222C6"/>
    <w:rsid w:val="0002549F"/>
    <w:rsid w:val="000468DB"/>
    <w:rsid w:val="0006487A"/>
    <w:rsid w:val="00065F8F"/>
    <w:rsid w:val="00070A43"/>
    <w:rsid w:val="00071797"/>
    <w:rsid w:val="000768F2"/>
    <w:rsid w:val="000828C4"/>
    <w:rsid w:val="0009184B"/>
    <w:rsid w:val="00094236"/>
    <w:rsid w:val="0009593C"/>
    <w:rsid w:val="00097322"/>
    <w:rsid w:val="000A6A92"/>
    <w:rsid w:val="000B047F"/>
    <w:rsid w:val="000B0A0C"/>
    <w:rsid w:val="000B5014"/>
    <w:rsid w:val="000B5923"/>
    <w:rsid w:val="000B5A48"/>
    <w:rsid w:val="000B6FF3"/>
    <w:rsid w:val="000C33E2"/>
    <w:rsid w:val="000C3467"/>
    <w:rsid w:val="000C3CA6"/>
    <w:rsid w:val="000C6F01"/>
    <w:rsid w:val="000D1267"/>
    <w:rsid w:val="000D1D50"/>
    <w:rsid w:val="000D35E8"/>
    <w:rsid w:val="000D5782"/>
    <w:rsid w:val="000E6613"/>
    <w:rsid w:val="000E7119"/>
    <w:rsid w:val="000F3C9E"/>
    <w:rsid w:val="00107B09"/>
    <w:rsid w:val="00114E9B"/>
    <w:rsid w:val="00122F47"/>
    <w:rsid w:val="00133417"/>
    <w:rsid w:val="001335D0"/>
    <w:rsid w:val="00135135"/>
    <w:rsid w:val="0013624C"/>
    <w:rsid w:val="00142216"/>
    <w:rsid w:val="00143E48"/>
    <w:rsid w:val="00144D6A"/>
    <w:rsid w:val="0014729F"/>
    <w:rsid w:val="00157BAB"/>
    <w:rsid w:val="0016405B"/>
    <w:rsid w:val="001654D1"/>
    <w:rsid w:val="00174518"/>
    <w:rsid w:val="0018106D"/>
    <w:rsid w:val="001877A7"/>
    <w:rsid w:val="00191536"/>
    <w:rsid w:val="00192159"/>
    <w:rsid w:val="00196687"/>
    <w:rsid w:val="001A5CB9"/>
    <w:rsid w:val="001A7621"/>
    <w:rsid w:val="001B5CE1"/>
    <w:rsid w:val="001C0962"/>
    <w:rsid w:val="001D7531"/>
    <w:rsid w:val="001E0C01"/>
    <w:rsid w:val="001E3E73"/>
    <w:rsid w:val="001E6C0E"/>
    <w:rsid w:val="001E737D"/>
    <w:rsid w:val="001F0592"/>
    <w:rsid w:val="001F7506"/>
    <w:rsid w:val="002006CD"/>
    <w:rsid w:val="00202B36"/>
    <w:rsid w:val="00204B7A"/>
    <w:rsid w:val="00204CDE"/>
    <w:rsid w:val="0021101A"/>
    <w:rsid w:val="00220536"/>
    <w:rsid w:val="00223922"/>
    <w:rsid w:val="00233526"/>
    <w:rsid w:val="00235629"/>
    <w:rsid w:val="00236AAB"/>
    <w:rsid w:val="00243DF4"/>
    <w:rsid w:val="002465A7"/>
    <w:rsid w:val="002607C0"/>
    <w:rsid w:val="00260C38"/>
    <w:rsid w:val="002616C0"/>
    <w:rsid w:val="00265372"/>
    <w:rsid w:val="002662AA"/>
    <w:rsid w:val="0027754B"/>
    <w:rsid w:val="00280496"/>
    <w:rsid w:val="00294DC9"/>
    <w:rsid w:val="00295495"/>
    <w:rsid w:val="002A31DE"/>
    <w:rsid w:val="002B0543"/>
    <w:rsid w:val="002B2613"/>
    <w:rsid w:val="002D5175"/>
    <w:rsid w:val="002D6D05"/>
    <w:rsid w:val="002E6B0C"/>
    <w:rsid w:val="002F1818"/>
    <w:rsid w:val="002F567B"/>
    <w:rsid w:val="003006D3"/>
    <w:rsid w:val="003204F3"/>
    <w:rsid w:val="003216A9"/>
    <w:rsid w:val="0033382E"/>
    <w:rsid w:val="00335A74"/>
    <w:rsid w:val="00356489"/>
    <w:rsid w:val="0036561B"/>
    <w:rsid w:val="0037013F"/>
    <w:rsid w:val="00380C92"/>
    <w:rsid w:val="003935A1"/>
    <w:rsid w:val="00395427"/>
    <w:rsid w:val="003A0D37"/>
    <w:rsid w:val="003A484F"/>
    <w:rsid w:val="003A4883"/>
    <w:rsid w:val="003A6E83"/>
    <w:rsid w:val="003B0BE0"/>
    <w:rsid w:val="003B0C1B"/>
    <w:rsid w:val="003B688C"/>
    <w:rsid w:val="003C0291"/>
    <w:rsid w:val="003C2D8D"/>
    <w:rsid w:val="003C39AE"/>
    <w:rsid w:val="003C7B60"/>
    <w:rsid w:val="003D0C0F"/>
    <w:rsid w:val="003D1FB2"/>
    <w:rsid w:val="003D66DA"/>
    <w:rsid w:val="003E08AF"/>
    <w:rsid w:val="003E1310"/>
    <w:rsid w:val="003E6F55"/>
    <w:rsid w:val="004027A3"/>
    <w:rsid w:val="00406254"/>
    <w:rsid w:val="0041068D"/>
    <w:rsid w:val="004223DE"/>
    <w:rsid w:val="00434489"/>
    <w:rsid w:val="00437085"/>
    <w:rsid w:val="00443880"/>
    <w:rsid w:val="00443C30"/>
    <w:rsid w:val="004464F4"/>
    <w:rsid w:val="00463292"/>
    <w:rsid w:val="00463856"/>
    <w:rsid w:val="00471401"/>
    <w:rsid w:val="00473F31"/>
    <w:rsid w:val="004744D6"/>
    <w:rsid w:val="0048263A"/>
    <w:rsid w:val="00487E5D"/>
    <w:rsid w:val="00490F7C"/>
    <w:rsid w:val="004A0B1D"/>
    <w:rsid w:val="004A2549"/>
    <w:rsid w:val="004A711F"/>
    <w:rsid w:val="004B17DF"/>
    <w:rsid w:val="004B199D"/>
    <w:rsid w:val="004B4690"/>
    <w:rsid w:val="004D1822"/>
    <w:rsid w:val="004D3D7C"/>
    <w:rsid w:val="004E0971"/>
    <w:rsid w:val="004E0A2D"/>
    <w:rsid w:val="004E206B"/>
    <w:rsid w:val="004E6849"/>
    <w:rsid w:val="004E6DF7"/>
    <w:rsid w:val="004F0FBD"/>
    <w:rsid w:val="004F6A74"/>
    <w:rsid w:val="00505A47"/>
    <w:rsid w:val="005114E3"/>
    <w:rsid w:val="00512FDA"/>
    <w:rsid w:val="00520DA0"/>
    <w:rsid w:val="005375E7"/>
    <w:rsid w:val="00552099"/>
    <w:rsid w:val="005664BB"/>
    <w:rsid w:val="00566FFA"/>
    <w:rsid w:val="0057481D"/>
    <w:rsid w:val="0058486E"/>
    <w:rsid w:val="00585B33"/>
    <w:rsid w:val="0059014D"/>
    <w:rsid w:val="00595952"/>
    <w:rsid w:val="005A732C"/>
    <w:rsid w:val="005B5C64"/>
    <w:rsid w:val="005C5337"/>
    <w:rsid w:val="005C6BD0"/>
    <w:rsid w:val="005D1C8B"/>
    <w:rsid w:val="005D468D"/>
    <w:rsid w:val="005D5CED"/>
    <w:rsid w:val="005E01C8"/>
    <w:rsid w:val="005E3CF0"/>
    <w:rsid w:val="005F1A4C"/>
    <w:rsid w:val="00601C18"/>
    <w:rsid w:val="00605688"/>
    <w:rsid w:val="006070AF"/>
    <w:rsid w:val="00607E6C"/>
    <w:rsid w:val="006101B1"/>
    <w:rsid w:val="006130F0"/>
    <w:rsid w:val="00614E44"/>
    <w:rsid w:val="0062270A"/>
    <w:rsid w:val="00622830"/>
    <w:rsid w:val="006234C0"/>
    <w:rsid w:val="00623DA0"/>
    <w:rsid w:val="006249F0"/>
    <w:rsid w:val="006259F3"/>
    <w:rsid w:val="00625E59"/>
    <w:rsid w:val="00630AEF"/>
    <w:rsid w:val="006325F8"/>
    <w:rsid w:val="00633463"/>
    <w:rsid w:val="00634C9A"/>
    <w:rsid w:val="006440E4"/>
    <w:rsid w:val="00646E1F"/>
    <w:rsid w:val="0065421F"/>
    <w:rsid w:val="0066343B"/>
    <w:rsid w:val="00664777"/>
    <w:rsid w:val="006748A4"/>
    <w:rsid w:val="00681A31"/>
    <w:rsid w:val="00683E73"/>
    <w:rsid w:val="006A3141"/>
    <w:rsid w:val="006A5E34"/>
    <w:rsid w:val="006B2422"/>
    <w:rsid w:val="006B2B9A"/>
    <w:rsid w:val="006C1937"/>
    <w:rsid w:val="006E094F"/>
    <w:rsid w:val="006F020C"/>
    <w:rsid w:val="00703989"/>
    <w:rsid w:val="00710249"/>
    <w:rsid w:val="007127B7"/>
    <w:rsid w:val="0071798E"/>
    <w:rsid w:val="007416B6"/>
    <w:rsid w:val="00744644"/>
    <w:rsid w:val="00746F48"/>
    <w:rsid w:val="0074749E"/>
    <w:rsid w:val="0075404D"/>
    <w:rsid w:val="007544A0"/>
    <w:rsid w:val="00756FEB"/>
    <w:rsid w:val="0076182A"/>
    <w:rsid w:val="00761918"/>
    <w:rsid w:val="00767B7E"/>
    <w:rsid w:val="00772D40"/>
    <w:rsid w:val="00773871"/>
    <w:rsid w:val="007770C3"/>
    <w:rsid w:val="00784D24"/>
    <w:rsid w:val="00785FBA"/>
    <w:rsid w:val="00786E4A"/>
    <w:rsid w:val="007875EB"/>
    <w:rsid w:val="0079426B"/>
    <w:rsid w:val="007D1682"/>
    <w:rsid w:val="007D312A"/>
    <w:rsid w:val="007D3F19"/>
    <w:rsid w:val="007E1820"/>
    <w:rsid w:val="007E23B0"/>
    <w:rsid w:val="007E23E5"/>
    <w:rsid w:val="007F1991"/>
    <w:rsid w:val="007F2C2F"/>
    <w:rsid w:val="007F55FC"/>
    <w:rsid w:val="007F5665"/>
    <w:rsid w:val="00800112"/>
    <w:rsid w:val="00803B90"/>
    <w:rsid w:val="00813348"/>
    <w:rsid w:val="00817D88"/>
    <w:rsid w:val="008253BB"/>
    <w:rsid w:val="0083706E"/>
    <w:rsid w:val="008408F6"/>
    <w:rsid w:val="008423A5"/>
    <w:rsid w:val="00850625"/>
    <w:rsid w:val="00853718"/>
    <w:rsid w:val="00855221"/>
    <w:rsid w:val="00860645"/>
    <w:rsid w:val="00866D5D"/>
    <w:rsid w:val="00871F71"/>
    <w:rsid w:val="00872FD8"/>
    <w:rsid w:val="00880E9A"/>
    <w:rsid w:val="00885AF4"/>
    <w:rsid w:val="008939CD"/>
    <w:rsid w:val="008A6F37"/>
    <w:rsid w:val="008B768C"/>
    <w:rsid w:val="008C4DB1"/>
    <w:rsid w:val="008C4EAF"/>
    <w:rsid w:val="008C5176"/>
    <w:rsid w:val="008C7FD0"/>
    <w:rsid w:val="008D5C09"/>
    <w:rsid w:val="008E1DE7"/>
    <w:rsid w:val="008E707C"/>
    <w:rsid w:val="00900B08"/>
    <w:rsid w:val="00902155"/>
    <w:rsid w:val="00902FA3"/>
    <w:rsid w:val="00906C7B"/>
    <w:rsid w:val="00923564"/>
    <w:rsid w:val="0092392E"/>
    <w:rsid w:val="009315F9"/>
    <w:rsid w:val="00933499"/>
    <w:rsid w:val="00935C98"/>
    <w:rsid w:val="00936870"/>
    <w:rsid w:val="00944BB0"/>
    <w:rsid w:val="00945050"/>
    <w:rsid w:val="00946945"/>
    <w:rsid w:val="00947655"/>
    <w:rsid w:val="00950C4E"/>
    <w:rsid w:val="00951248"/>
    <w:rsid w:val="0095152F"/>
    <w:rsid w:val="00952D84"/>
    <w:rsid w:val="00954C49"/>
    <w:rsid w:val="00955E37"/>
    <w:rsid w:val="00964836"/>
    <w:rsid w:val="0097099F"/>
    <w:rsid w:val="00971997"/>
    <w:rsid w:val="00971FFC"/>
    <w:rsid w:val="00983064"/>
    <w:rsid w:val="0098660A"/>
    <w:rsid w:val="00987F9B"/>
    <w:rsid w:val="009931C3"/>
    <w:rsid w:val="00993F71"/>
    <w:rsid w:val="009B2C43"/>
    <w:rsid w:val="009B4EAE"/>
    <w:rsid w:val="009B7573"/>
    <w:rsid w:val="009C22F4"/>
    <w:rsid w:val="009C2A4B"/>
    <w:rsid w:val="009C2E98"/>
    <w:rsid w:val="009C5E38"/>
    <w:rsid w:val="009C611F"/>
    <w:rsid w:val="009D3447"/>
    <w:rsid w:val="009D4711"/>
    <w:rsid w:val="009E53AF"/>
    <w:rsid w:val="009F1185"/>
    <w:rsid w:val="009F18CD"/>
    <w:rsid w:val="009F2A13"/>
    <w:rsid w:val="009F3E64"/>
    <w:rsid w:val="009F7527"/>
    <w:rsid w:val="00A04EB0"/>
    <w:rsid w:val="00A122A2"/>
    <w:rsid w:val="00A132A7"/>
    <w:rsid w:val="00A13CC1"/>
    <w:rsid w:val="00A16847"/>
    <w:rsid w:val="00A237D8"/>
    <w:rsid w:val="00A241ED"/>
    <w:rsid w:val="00A24F97"/>
    <w:rsid w:val="00A25B71"/>
    <w:rsid w:val="00A268C4"/>
    <w:rsid w:val="00A307CD"/>
    <w:rsid w:val="00A3083F"/>
    <w:rsid w:val="00A3280B"/>
    <w:rsid w:val="00A331C8"/>
    <w:rsid w:val="00A40A00"/>
    <w:rsid w:val="00A4142F"/>
    <w:rsid w:val="00A422EB"/>
    <w:rsid w:val="00A44353"/>
    <w:rsid w:val="00A45BB7"/>
    <w:rsid w:val="00A469B2"/>
    <w:rsid w:val="00A56DF2"/>
    <w:rsid w:val="00A56E6E"/>
    <w:rsid w:val="00A67AB5"/>
    <w:rsid w:val="00A70386"/>
    <w:rsid w:val="00A733B2"/>
    <w:rsid w:val="00A741C2"/>
    <w:rsid w:val="00A76562"/>
    <w:rsid w:val="00A803B6"/>
    <w:rsid w:val="00A81F5A"/>
    <w:rsid w:val="00A8715C"/>
    <w:rsid w:val="00A91760"/>
    <w:rsid w:val="00A93B00"/>
    <w:rsid w:val="00A93C21"/>
    <w:rsid w:val="00AA550F"/>
    <w:rsid w:val="00AB64C9"/>
    <w:rsid w:val="00AC3C6A"/>
    <w:rsid w:val="00AD5620"/>
    <w:rsid w:val="00AD656B"/>
    <w:rsid w:val="00AD7C1B"/>
    <w:rsid w:val="00AE16BA"/>
    <w:rsid w:val="00AE1EBE"/>
    <w:rsid w:val="00B01546"/>
    <w:rsid w:val="00B03C9D"/>
    <w:rsid w:val="00B060AE"/>
    <w:rsid w:val="00B10517"/>
    <w:rsid w:val="00B14E76"/>
    <w:rsid w:val="00B161B8"/>
    <w:rsid w:val="00B2048C"/>
    <w:rsid w:val="00B27D9D"/>
    <w:rsid w:val="00B310B9"/>
    <w:rsid w:val="00B35F3F"/>
    <w:rsid w:val="00B36CBB"/>
    <w:rsid w:val="00B425CD"/>
    <w:rsid w:val="00B425E0"/>
    <w:rsid w:val="00B440AA"/>
    <w:rsid w:val="00B44B70"/>
    <w:rsid w:val="00B461EE"/>
    <w:rsid w:val="00B46CAF"/>
    <w:rsid w:val="00B50B27"/>
    <w:rsid w:val="00B53C56"/>
    <w:rsid w:val="00B57DAF"/>
    <w:rsid w:val="00B630C7"/>
    <w:rsid w:val="00B7743E"/>
    <w:rsid w:val="00B77EA6"/>
    <w:rsid w:val="00B81598"/>
    <w:rsid w:val="00B841F1"/>
    <w:rsid w:val="00B943F8"/>
    <w:rsid w:val="00B944D6"/>
    <w:rsid w:val="00B964DE"/>
    <w:rsid w:val="00BA177F"/>
    <w:rsid w:val="00BA55C1"/>
    <w:rsid w:val="00BB4DF0"/>
    <w:rsid w:val="00BB50A7"/>
    <w:rsid w:val="00BC289F"/>
    <w:rsid w:val="00BC2D50"/>
    <w:rsid w:val="00BC5361"/>
    <w:rsid w:val="00BC5460"/>
    <w:rsid w:val="00BC6B50"/>
    <w:rsid w:val="00BD0E25"/>
    <w:rsid w:val="00BF2D77"/>
    <w:rsid w:val="00BF5BD6"/>
    <w:rsid w:val="00C03E31"/>
    <w:rsid w:val="00C203C7"/>
    <w:rsid w:val="00C219CD"/>
    <w:rsid w:val="00C272AB"/>
    <w:rsid w:val="00C33E72"/>
    <w:rsid w:val="00C354B2"/>
    <w:rsid w:val="00C35554"/>
    <w:rsid w:val="00C4012E"/>
    <w:rsid w:val="00C42709"/>
    <w:rsid w:val="00C533CC"/>
    <w:rsid w:val="00C5751C"/>
    <w:rsid w:val="00C61BFC"/>
    <w:rsid w:val="00C62B85"/>
    <w:rsid w:val="00C65438"/>
    <w:rsid w:val="00C656BD"/>
    <w:rsid w:val="00C7155E"/>
    <w:rsid w:val="00C87FD8"/>
    <w:rsid w:val="00C91381"/>
    <w:rsid w:val="00C91CBB"/>
    <w:rsid w:val="00CA5478"/>
    <w:rsid w:val="00CA5A06"/>
    <w:rsid w:val="00CA652C"/>
    <w:rsid w:val="00CB18B9"/>
    <w:rsid w:val="00CB4E70"/>
    <w:rsid w:val="00CC09B6"/>
    <w:rsid w:val="00CC666F"/>
    <w:rsid w:val="00CD1E3F"/>
    <w:rsid w:val="00CE03E2"/>
    <w:rsid w:val="00CE283E"/>
    <w:rsid w:val="00CE44F6"/>
    <w:rsid w:val="00CE49DA"/>
    <w:rsid w:val="00CE7B61"/>
    <w:rsid w:val="00D00095"/>
    <w:rsid w:val="00D114F0"/>
    <w:rsid w:val="00D13667"/>
    <w:rsid w:val="00D15369"/>
    <w:rsid w:val="00D20620"/>
    <w:rsid w:val="00D22FDD"/>
    <w:rsid w:val="00D254F7"/>
    <w:rsid w:val="00D26091"/>
    <w:rsid w:val="00D2685C"/>
    <w:rsid w:val="00D3393E"/>
    <w:rsid w:val="00D34E7C"/>
    <w:rsid w:val="00D35489"/>
    <w:rsid w:val="00D36AFE"/>
    <w:rsid w:val="00D510B0"/>
    <w:rsid w:val="00D51276"/>
    <w:rsid w:val="00D51B10"/>
    <w:rsid w:val="00D6795D"/>
    <w:rsid w:val="00D7035F"/>
    <w:rsid w:val="00D74E4E"/>
    <w:rsid w:val="00D93065"/>
    <w:rsid w:val="00D958EB"/>
    <w:rsid w:val="00DA634F"/>
    <w:rsid w:val="00DA65AC"/>
    <w:rsid w:val="00DB1913"/>
    <w:rsid w:val="00DC410D"/>
    <w:rsid w:val="00DC5A81"/>
    <w:rsid w:val="00DC68CA"/>
    <w:rsid w:val="00DC7CBA"/>
    <w:rsid w:val="00DD73B7"/>
    <w:rsid w:val="00DE11CB"/>
    <w:rsid w:val="00DE5627"/>
    <w:rsid w:val="00DE68B2"/>
    <w:rsid w:val="00DF28BC"/>
    <w:rsid w:val="00DF2E81"/>
    <w:rsid w:val="00DF34B9"/>
    <w:rsid w:val="00E01053"/>
    <w:rsid w:val="00E02053"/>
    <w:rsid w:val="00E07ACF"/>
    <w:rsid w:val="00E331A1"/>
    <w:rsid w:val="00E33202"/>
    <w:rsid w:val="00E336A9"/>
    <w:rsid w:val="00E44A6D"/>
    <w:rsid w:val="00E46CC3"/>
    <w:rsid w:val="00E472B1"/>
    <w:rsid w:val="00E50624"/>
    <w:rsid w:val="00E50832"/>
    <w:rsid w:val="00E568DF"/>
    <w:rsid w:val="00E64269"/>
    <w:rsid w:val="00E70F0C"/>
    <w:rsid w:val="00E82267"/>
    <w:rsid w:val="00E853CE"/>
    <w:rsid w:val="00E867B6"/>
    <w:rsid w:val="00EA010F"/>
    <w:rsid w:val="00EB06FA"/>
    <w:rsid w:val="00EC1FCA"/>
    <w:rsid w:val="00EC551D"/>
    <w:rsid w:val="00ED1B63"/>
    <w:rsid w:val="00ED3C1F"/>
    <w:rsid w:val="00ED4085"/>
    <w:rsid w:val="00ED420E"/>
    <w:rsid w:val="00ED6FBE"/>
    <w:rsid w:val="00EE2F57"/>
    <w:rsid w:val="00EF373B"/>
    <w:rsid w:val="00EF4C34"/>
    <w:rsid w:val="00EF77C6"/>
    <w:rsid w:val="00F05438"/>
    <w:rsid w:val="00F075BA"/>
    <w:rsid w:val="00F1361C"/>
    <w:rsid w:val="00F156F0"/>
    <w:rsid w:val="00F160C7"/>
    <w:rsid w:val="00F16762"/>
    <w:rsid w:val="00F2408F"/>
    <w:rsid w:val="00F240E9"/>
    <w:rsid w:val="00F36D8F"/>
    <w:rsid w:val="00F417B1"/>
    <w:rsid w:val="00F42DF9"/>
    <w:rsid w:val="00F45853"/>
    <w:rsid w:val="00F5171A"/>
    <w:rsid w:val="00F53C02"/>
    <w:rsid w:val="00F602DF"/>
    <w:rsid w:val="00F754A1"/>
    <w:rsid w:val="00F810F6"/>
    <w:rsid w:val="00F81FD9"/>
    <w:rsid w:val="00F83B83"/>
    <w:rsid w:val="00F841AA"/>
    <w:rsid w:val="00F84A94"/>
    <w:rsid w:val="00F87E96"/>
    <w:rsid w:val="00F91B1F"/>
    <w:rsid w:val="00F93903"/>
    <w:rsid w:val="00F941F0"/>
    <w:rsid w:val="00F9606F"/>
    <w:rsid w:val="00FA058E"/>
    <w:rsid w:val="00FA23E8"/>
    <w:rsid w:val="00FA773B"/>
    <w:rsid w:val="00FD3CC1"/>
    <w:rsid w:val="00FD5CE5"/>
    <w:rsid w:val="00FE0596"/>
    <w:rsid w:val="00FF1E02"/>
    <w:rsid w:val="00FF30B4"/>
    <w:rsid w:val="02B052A9"/>
    <w:rsid w:val="03303212"/>
    <w:rsid w:val="03372BDE"/>
    <w:rsid w:val="0381685A"/>
    <w:rsid w:val="03A90150"/>
    <w:rsid w:val="04001E75"/>
    <w:rsid w:val="04A22E57"/>
    <w:rsid w:val="04CA5572"/>
    <w:rsid w:val="05A818A3"/>
    <w:rsid w:val="06143B70"/>
    <w:rsid w:val="067313A5"/>
    <w:rsid w:val="0676605E"/>
    <w:rsid w:val="067F3DAA"/>
    <w:rsid w:val="075763D6"/>
    <w:rsid w:val="086C7AD9"/>
    <w:rsid w:val="08D32307"/>
    <w:rsid w:val="095458AA"/>
    <w:rsid w:val="099F12A5"/>
    <w:rsid w:val="0A147B34"/>
    <w:rsid w:val="0A2032A3"/>
    <w:rsid w:val="0B0A4727"/>
    <w:rsid w:val="0B0B3DEE"/>
    <w:rsid w:val="0B120E3A"/>
    <w:rsid w:val="0B8A37D8"/>
    <w:rsid w:val="0D4E1A83"/>
    <w:rsid w:val="0DB8683A"/>
    <w:rsid w:val="0E4A2881"/>
    <w:rsid w:val="0E5871F1"/>
    <w:rsid w:val="0F4F5A5E"/>
    <w:rsid w:val="0F6410BF"/>
    <w:rsid w:val="10C055FF"/>
    <w:rsid w:val="10D97CD5"/>
    <w:rsid w:val="118107EC"/>
    <w:rsid w:val="11BF4338"/>
    <w:rsid w:val="11DD6519"/>
    <w:rsid w:val="11E16D70"/>
    <w:rsid w:val="11F03780"/>
    <w:rsid w:val="12723F3D"/>
    <w:rsid w:val="1361371C"/>
    <w:rsid w:val="145850C9"/>
    <w:rsid w:val="14A9078E"/>
    <w:rsid w:val="151574F7"/>
    <w:rsid w:val="15F72355"/>
    <w:rsid w:val="161E0F3C"/>
    <w:rsid w:val="16BB723D"/>
    <w:rsid w:val="17AE304D"/>
    <w:rsid w:val="17C31582"/>
    <w:rsid w:val="17E12A40"/>
    <w:rsid w:val="18015F3F"/>
    <w:rsid w:val="180D665D"/>
    <w:rsid w:val="188C616C"/>
    <w:rsid w:val="18FB172B"/>
    <w:rsid w:val="19017DC9"/>
    <w:rsid w:val="19F52E15"/>
    <w:rsid w:val="1A976C37"/>
    <w:rsid w:val="1BE8440E"/>
    <w:rsid w:val="1BF07096"/>
    <w:rsid w:val="1C67088B"/>
    <w:rsid w:val="1C9D42AD"/>
    <w:rsid w:val="1CAB14F9"/>
    <w:rsid w:val="1D155CEE"/>
    <w:rsid w:val="1D31274A"/>
    <w:rsid w:val="1E3E43A4"/>
    <w:rsid w:val="1E7D043D"/>
    <w:rsid w:val="1EED76E7"/>
    <w:rsid w:val="201C198C"/>
    <w:rsid w:val="202764B4"/>
    <w:rsid w:val="20F57F95"/>
    <w:rsid w:val="23733FB9"/>
    <w:rsid w:val="23D946BE"/>
    <w:rsid w:val="240371BF"/>
    <w:rsid w:val="244C41F3"/>
    <w:rsid w:val="24581D7F"/>
    <w:rsid w:val="249545FF"/>
    <w:rsid w:val="25094746"/>
    <w:rsid w:val="254F796C"/>
    <w:rsid w:val="25C741E6"/>
    <w:rsid w:val="27007912"/>
    <w:rsid w:val="27704A89"/>
    <w:rsid w:val="27842671"/>
    <w:rsid w:val="2793394C"/>
    <w:rsid w:val="27D8419D"/>
    <w:rsid w:val="29475CCC"/>
    <w:rsid w:val="29C25353"/>
    <w:rsid w:val="29DB1AEB"/>
    <w:rsid w:val="29EA7DE8"/>
    <w:rsid w:val="29FD04D3"/>
    <w:rsid w:val="2ABE7A3E"/>
    <w:rsid w:val="2AFE0515"/>
    <w:rsid w:val="2B1332EA"/>
    <w:rsid w:val="2B920D55"/>
    <w:rsid w:val="2BC171EF"/>
    <w:rsid w:val="2CEC37BF"/>
    <w:rsid w:val="2DBB0A37"/>
    <w:rsid w:val="2DBD24EC"/>
    <w:rsid w:val="2E456552"/>
    <w:rsid w:val="2E5E141D"/>
    <w:rsid w:val="2EFA178C"/>
    <w:rsid w:val="2FC11C09"/>
    <w:rsid w:val="3046090B"/>
    <w:rsid w:val="30B46D73"/>
    <w:rsid w:val="30DE672D"/>
    <w:rsid w:val="31317BD1"/>
    <w:rsid w:val="3156582F"/>
    <w:rsid w:val="319F7F4E"/>
    <w:rsid w:val="31F75DB5"/>
    <w:rsid w:val="33BA5704"/>
    <w:rsid w:val="33F56E0F"/>
    <w:rsid w:val="340B78F6"/>
    <w:rsid w:val="34743EA2"/>
    <w:rsid w:val="356E7B0F"/>
    <w:rsid w:val="362E0F76"/>
    <w:rsid w:val="36482188"/>
    <w:rsid w:val="36703BB7"/>
    <w:rsid w:val="36B846C9"/>
    <w:rsid w:val="36C66D6E"/>
    <w:rsid w:val="372B71C7"/>
    <w:rsid w:val="375021F0"/>
    <w:rsid w:val="376E09B0"/>
    <w:rsid w:val="38C20ECB"/>
    <w:rsid w:val="394C4C39"/>
    <w:rsid w:val="3963440C"/>
    <w:rsid w:val="39876BC4"/>
    <w:rsid w:val="39A53B63"/>
    <w:rsid w:val="39AE70AB"/>
    <w:rsid w:val="39E7003F"/>
    <w:rsid w:val="3BF85ABC"/>
    <w:rsid w:val="3C0C0783"/>
    <w:rsid w:val="3C4E2A76"/>
    <w:rsid w:val="3C7324DC"/>
    <w:rsid w:val="3C912849"/>
    <w:rsid w:val="3EBD2C6B"/>
    <w:rsid w:val="3EC67F27"/>
    <w:rsid w:val="3F795B0E"/>
    <w:rsid w:val="3F9F3A96"/>
    <w:rsid w:val="4044363D"/>
    <w:rsid w:val="41151DB4"/>
    <w:rsid w:val="41515711"/>
    <w:rsid w:val="42274495"/>
    <w:rsid w:val="42615727"/>
    <w:rsid w:val="45201B70"/>
    <w:rsid w:val="45240818"/>
    <w:rsid w:val="45341FCB"/>
    <w:rsid w:val="458A0186"/>
    <w:rsid w:val="45967968"/>
    <w:rsid w:val="47E16994"/>
    <w:rsid w:val="483E7057"/>
    <w:rsid w:val="484E0D77"/>
    <w:rsid w:val="48743864"/>
    <w:rsid w:val="48E67EAC"/>
    <w:rsid w:val="493C27E9"/>
    <w:rsid w:val="494D47E1"/>
    <w:rsid w:val="496F39ED"/>
    <w:rsid w:val="498908EE"/>
    <w:rsid w:val="49FF41D3"/>
    <w:rsid w:val="4A185DC8"/>
    <w:rsid w:val="4B001894"/>
    <w:rsid w:val="4B272E10"/>
    <w:rsid w:val="4B2C4175"/>
    <w:rsid w:val="4BE068DB"/>
    <w:rsid w:val="4BF6002B"/>
    <w:rsid w:val="4C9B3ECC"/>
    <w:rsid w:val="4D0F0ADB"/>
    <w:rsid w:val="4DEE11F9"/>
    <w:rsid w:val="4E0936F8"/>
    <w:rsid w:val="4EA76741"/>
    <w:rsid w:val="4EB66985"/>
    <w:rsid w:val="4ECE2238"/>
    <w:rsid w:val="513E788B"/>
    <w:rsid w:val="51DB4B86"/>
    <w:rsid w:val="528B7EDF"/>
    <w:rsid w:val="54240834"/>
    <w:rsid w:val="542E2AA1"/>
    <w:rsid w:val="54BE6AB8"/>
    <w:rsid w:val="55333C3E"/>
    <w:rsid w:val="5641747C"/>
    <w:rsid w:val="567463DA"/>
    <w:rsid w:val="5689497F"/>
    <w:rsid w:val="570312B6"/>
    <w:rsid w:val="58775378"/>
    <w:rsid w:val="59D86349"/>
    <w:rsid w:val="5A861425"/>
    <w:rsid w:val="5AD460C0"/>
    <w:rsid w:val="5B33067D"/>
    <w:rsid w:val="5B427A5B"/>
    <w:rsid w:val="5C972E53"/>
    <w:rsid w:val="5CD5327B"/>
    <w:rsid w:val="5DC310BE"/>
    <w:rsid w:val="5E6C52B2"/>
    <w:rsid w:val="5F4678B1"/>
    <w:rsid w:val="5F621FFB"/>
    <w:rsid w:val="5F773F0E"/>
    <w:rsid w:val="600B12DB"/>
    <w:rsid w:val="61901303"/>
    <w:rsid w:val="626D3C7B"/>
    <w:rsid w:val="63A25979"/>
    <w:rsid w:val="640047C5"/>
    <w:rsid w:val="648A7900"/>
    <w:rsid w:val="64CA39A1"/>
    <w:rsid w:val="655C3582"/>
    <w:rsid w:val="65A25F4F"/>
    <w:rsid w:val="662F72F1"/>
    <w:rsid w:val="664C6904"/>
    <w:rsid w:val="66965539"/>
    <w:rsid w:val="66B9305E"/>
    <w:rsid w:val="66E55C01"/>
    <w:rsid w:val="68E65C61"/>
    <w:rsid w:val="696A2EE4"/>
    <w:rsid w:val="69DB3991"/>
    <w:rsid w:val="69FE6661"/>
    <w:rsid w:val="6A667059"/>
    <w:rsid w:val="6C0B435C"/>
    <w:rsid w:val="6C276CBC"/>
    <w:rsid w:val="6C4A05C8"/>
    <w:rsid w:val="6C8959DC"/>
    <w:rsid w:val="6C920A5F"/>
    <w:rsid w:val="6D003795"/>
    <w:rsid w:val="6D0D38CD"/>
    <w:rsid w:val="6D173953"/>
    <w:rsid w:val="6D8A7502"/>
    <w:rsid w:val="6DC9627D"/>
    <w:rsid w:val="721A7637"/>
    <w:rsid w:val="72734D90"/>
    <w:rsid w:val="72DC6FF0"/>
    <w:rsid w:val="72FC167C"/>
    <w:rsid w:val="73B130DA"/>
    <w:rsid w:val="73E75DBE"/>
    <w:rsid w:val="74E366CA"/>
    <w:rsid w:val="75046CCD"/>
    <w:rsid w:val="75C46407"/>
    <w:rsid w:val="75DA5042"/>
    <w:rsid w:val="76DF266D"/>
    <w:rsid w:val="77A46D61"/>
    <w:rsid w:val="78A53442"/>
    <w:rsid w:val="78D65AE1"/>
    <w:rsid w:val="79E7B28D"/>
    <w:rsid w:val="7AC47A1E"/>
    <w:rsid w:val="7AE23923"/>
    <w:rsid w:val="7BCC2476"/>
    <w:rsid w:val="7C4C1868"/>
    <w:rsid w:val="7E3B548B"/>
    <w:rsid w:val="7E434210"/>
    <w:rsid w:val="7F9F20EE"/>
    <w:rsid w:val="7FFD5912"/>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table of figures1"/>
    <w:basedOn w:val="1"/>
    <w:next w:val="1"/>
    <w:qFormat/>
    <w:uiPriority w:val="99"/>
    <w:pPr>
      <w:ind w:left="200" w:leftChars="200" w:hanging="200" w:hangingChars="200"/>
    </w:pPr>
  </w:style>
  <w:style w:type="paragraph" w:styleId="6">
    <w:name w:val="index 6"/>
    <w:basedOn w:val="1"/>
    <w:next w:val="1"/>
    <w:qFormat/>
    <w:uiPriority w:val="0"/>
    <w:pPr>
      <w:ind w:left="2100"/>
    </w:pPr>
  </w:style>
  <w:style w:type="paragraph" w:styleId="7">
    <w:name w:val="Body Text"/>
    <w:basedOn w:val="1"/>
    <w:link w:val="28"/>
    <w:qFormat/>
    <w:uiPriority w:val="99"/>
    <w:pPr>
      <w:spacing w:beforeLines="30"/>
    </w:pPr>
    <w:rPr>
      <w:rFonts w:ascii="仿宋_GB2312" w:eastAsia="仿宋_GB2312"/>
      <w:kern w:val="0"/>
      <w:sz w:val="30"/>
    </w:rPr>
  </w:style>
  <w:style w:type="paragraph" w:styleId="8">
    <w:name w:val="Body Text Indent"/>
    <w:basedOn w:val="1"/>
    <w:next w:val="9"/>
    <w:qFormat/>
    <w:uiPriority w:val="0"/>
    <w:pPr>
      <w:ind w:firstLine="200" w:firstLineChars="200"/>
    </w:pPr>
    <w:rPr>
      <w:rFonts w:ascii="仿宋_GB2312" w:hAnsi="Calibri" w:eastAsia="仿宋_GB2312"/>
      <w:sz w:val="30"/>
      <w:szCs w:val="20"/>
    </w:rPr>
  </w:style>
  <w:style w:type="paragraph" w:styleId="9">
    <w:name w:val="Body Text First Indent 2"/>
    <w:basedOn w:val="8"/>
    <w:next w:val="1"/>
    <w:qFormat/>
    <w:uiPriority w:val="0"/>
    <w:pPr>
      <w:ind w:firstLine="420"/>
    </w:pPr>
  </w:style>
  <w:style w:type="paragraph" w:styleId="10">
    <w:name w:val="toc 3"/>
    <w:basedOn w:val="1"/>
    <w:next w:val="1"/>
    <w:unhideWhenUsed/>
    <w:qFormat/>
    <w:uiPriority w:val="39"/>
    <w:pPr>
      <w:tabs>
        <w:tab w:val="right" w:leader="dot" w:pos="8296"/>
      </w:tabs>
      <w:ind w:left="840" w:leftChars="400"/>
    </w:pPr>
  </w:style>
  <w:style w:type="paragraph" w:styleId="11">
    <w:name w:val="Balloon Text"/>
    <w:basedOn w:val="1"/>
    <w:link w:val="33"/>
    <w:semiHidden/>
    <w:unhideWhenUsed/>
    <w:qFormat/>
    <w:uiPriority w:val="99"/>
    <w:rPr>
      <w:sz w:val="18"/>
      <w:szCs w:val="18"/>
    </w:rPr>
  </w:style>
  <w:style w:type="paragraph" w:styleId="12">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7">
    <w:name w:val="Body Text First Indent"/>
    <w:basedOn w:val="7"/>
    <w:link w:val="36"/>
    <w:qFormat/>
    <w:uiPriority w:val="99"/>
    <w:pPr>
      <w:spacing w:beforeLines="0" w:after="120"/>
      <w:ind w:firstLine="420" w:firstLineChars="100"/>
    </w:pPr>
    <w:rPr>
      <w:rFonts w:ascii="Calibri" w:hAnsi="Calibri" w:eastAsia="宋体" w:cs="宋体"/>
      <w:kern w:val="2"/>
      <w:sz w:val="21"/>
    </w:r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Char"/>
    <w:link w:val="13"/>
    <w:semiHidden/>
    <w:qFormat/>
    <w:locked/>
    <w:uiPriority w:val="99"/>
    <w:rPr>
      <w:sz w:val="18"/>
    </w:rPr>
  </w:style>
  <w:style w:type="character" w:customStyle="1" w:styleId="25">
    <w:name w:val="Footer Char"/>
    <w:basedOn w:val="19"/>
    <w:semiHidden/>
    <w:qFormat/>
    <w:uiPriority w:val="99"/>
    <w:rPr>
      <w:rFonts w:ascii="Times New Roman" w:hAnsi="Times New Roman"/>
      <w:sz w:val="18"/>
      <w:szCs w:val="18"/>
    </w:rPr>
  </w:style>
  <w:style w:type="character" w:customStyle="1" w:styleId="26">
    <w:name w:val="页脚 Char"/>
    <w:link w:val="12"/>
    <w:qFormat/>
    <w:locked/>
    <w:uiPriority w:val="99"/>
    <w:rPr>
      <w:sz w:val="18"/>
    </w:rPr>
  </w:style>
  <w:style w:type="character" w:customStyle="1" w:styleId="27">
    <w:name w:val="Body Text Char"/>
    <w:basedOn w:val="19"/>
    <w:semiHidden/>
    <w:qFormat/>
    <w:uiPriority w:val="99"/>
    <w:rPr>
      <w:rFonts w:ascii="Times New Roman" w:hAnsi="Times New Roman"/>
      <w:szCs w:val="24"/>
    </w:rPr>
  </w:style>
  <w:style w:type="character" w:customStyle="1" w:styleId="28">
    <w:name w:val="正文文本 Char"/>
    <w:link w:val="7"/>
    <w:qFormat/>
    <w:locked/>
    <w:uiPriority w:val="99"/>
    <w:rPr>
      <w:rFonts w:ascii="仿宋_GB2312" w:hAnsi="Times New Roman" w:eastAsia="仿宋_GB2312"/>
      <w:sz w:val="24"/>
    </w:rPr>
  </w:style>
  <w:style w:type="paragraph" w:styleId="29">
    <w:name w:val="List Paragraph"/>
    <w:basedOn w:val="1"/>
    <w:qFormat/>
    <w:uiPriority w:val="34"/>
    <w:pPr>
      <w:ind w:firstLine="420" w:firstLineChars="200"/>
    </w:pPr>
  </w:style>
  <w:style w:type="character" w:customStyle="1" w:styleId="30">
    <w:name w:val="标题 1 Char"/>
    <w:basedOn w:val="19"/>
    <w:link w:val="3"/>
    <w:qFormat/>
    <w:uiPriority w:val="9"/>
    <w:rPr>
      <w:rFonts w:ascii="Times New Roman" w:hAnsi="Times New Roman"/>
      <w:b/>
      <w:bCs/>
      <w:kern w:val="44"/>
      <w:sz w:val="44"/>
      <w:szCs w:val="44"/>
    </w:rPr>
  </w:style>
  <w:style w:type="character" w:customStyle="1" w:styleId="31">
    <w:name w:val="标题 2 Char"/>
    <w:basedOn w:val="19"/>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Char"/>
    <w:basedOn w:val="19"/>
    <w:link w:val="11"/>
    <w:semiHidden/>
    <w:qFormat/>
    <w:uiPriority w:val="99"/>
    <w:rPr>
      <w:rFonts w:ascii="Times New Roman" w:hAnsi="Times New Roman"/>
      <w:kern w:val="2"/>
      <w:sz w:val="18"/>
      <w:szCs w:val="18"/>
    </w:rPr>
  </w:style>
  <w:style w:type="character" w:customStyle="1" w:styleId="34">
    <w:name w:val="标题 3 Char"/>
    <w:basedOn w:val="19"/>
    <w:link w:val="5"/>
    <w:qFormat/>
    <w:uiPriority w:val="9"/>
    <w:rPr>
      <w:rFonts w:ascii="Times New Roman" w:hAnsi="Times New Roman"/>
      <w:b/>
      <w:bCs/>
      <w:kern w:val="2"/>
      <w:sz w:val="32"/>
      <w:szCs w:val="32"/>
    </w:rPr>
  </w:style>
  <w:style w:type="paragraph" w:customStyle="1" w:styleId="3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6">
    <w:name w:val="正文首行缩进 Char"/>
    <w:basedOn w:val="28"/>
    <w:link w:val="17"/>
    <w:qFormat/>
    <w:uiPriority w:val="99"/>
    <w:rPr>
      <w:rFonts w:ascii="Calibri" w:hAnsi="Calibri" w:eastAsia="宋体" w:cs="宋体"/>
      <w:kern w:val="2"/>
      <w:sz w:val="21"/>
      <w:szCs w:val="24"/>
    </w:rPr>
  </w:style>
  <w:style w:type="paragraph" w:customStyle="1" w:styleId="37">
    <w:name w:val="WPSOffice手动目录 1"/>
    <w:qFormat/>
    <w:uiPriority w:val="0"/>
    <w:rPr>
      <w:rFonts w:asciiTheme="minorHAnsi" w:hAnsiTheme="minorHAnsi" w:eastAsiaTheme="minorEastAsia" w:cstheme="minorBidi"/>
      <w:lang w:val="en-US" w:eastAsia="zh-CN" w:bidi="ar-SA"/>
    </w:rPr>
  </w:style>
  <w:style w:type="paragraph" w:customStyle="1" w:styleId="38">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9">
    <w:name w:val="font11"/>
    <w:basedOn w:val="19"/>
    <w:qFormat/>
    <w:uiPriority w:val="0"/>
    <w:rPr>
      <w:rFonts w:hint="eastAsia" w:ascii="宋体" w:hAnsi="宋体" w:eastAsia="宋体" w:cs="宋体"/>
      <w:color w:val="000000"/>
      <w:sz w:val="18"/>
      <w:szCs w:val="18"/>
      <w:u w:val="none"/>
    </w:rPr>
  </w:style>
  <w:style w:type="character" w:customStyle="1" w:styleId="40">
    <w:name w:val="NormalCharacter"/>
    <w:semiHidden/>
    <w:qFormat/>
    <w:uiPriority w:val="0"/>
    <w:rPr>
      <w:rFonts w:ascii="Times New Roman" w:hAnsi="Times New Roman" w:eastAsia="宋体" w:cs="Times New Roman"/>
      <w:kern w:val="2"/>
      <w:sz w:val="21"/>
      <w:szCs w:val="24"/>
      <w:lang w:val="en-US" w:eastAsia="zh-CN" w:bidi="ar-SA"/>
    </w:rPr>
  </w:style>
  <w:style w:type="table" w:customStyle="1" w:styleId="41">
    <w:name w:val="Table Normal"/>
    <w:semiHidden/>
    <w:unhideWhenUsed/>
    <w:qFormat/>
    <w:uiPriority w:val="0"/>
    <w:tblPr>
      <w:tblCellMar>
        <w:top w:w="0" w:type="dxa"/>
        <w:left w:w="0" w:type="dxa"/>
        <w:bottom w:w="0" w:type="dxa"/>
        <w:right w:w="0" w:type="dxa"/>
      </w:tblCellMar>
    </w:tblPr>
  </w:style>
  <w:style w:type="paragraph" w:customStyle="1" w:styleId="42">
    <w:name w:val="Table Paragraph"/>
    <w:basedOn w:val="1"/>
    <w:qFormat/>
    <w:uiPriority w:val="1"/>
    <w:pPr>
      <w:jc w:val="center"/>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emf"/><Relationship Id="rId17" Type="http://schemas.openxmlformats.org/officeDocument/2006/relationships/oleObject" Target="embeddings/oleObject7.bin"/><Relationship Id="rId16" Type="http://schemas.openxmlformats.org/officeDocument/2006/relationships/image" Target="media/image5.emf"/><Relationship Id="rId15" Type="http://schemas.openxmlformats.org/officeDocument/2006/relationships/oleObject" Target="embeddings/oleObject6.bin"/><Relationship Id="rId14" Type="http://schemas.openxmlformats.org/officeDocument/2006/relationships/image" Target="media/image4.emf"/><Relationship Id="rId13" Type="http://schemas.openxmlformats.org/officeDocument/2006/relationships/oleObject" Target="embeddings/oleObject5.bin"/><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31"/>
    <customShpInfo spid="_x0000_s1042"/>
    <customShpInfo spid="_x0000_s1034"/>
    <customShpInfo spid="_x0000_s104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28</Pages>
  <Words>11696</Words>
  <Characters>12424</Characters>
  <Lines>115</Lines>
  <Paragraphs>32</Paragraphs>
  <TotalTime>68</TotalTime>
  <ScaleCrop>false</ScaleCrop>
  <LinksUpToDate>false</LinksUpToDate>
  <CharactersWithSpaces>12650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2022-08-06T10:23:00Z</cp:lastPrinted>
  <dcterms:modified xsi:type="dcterms:W3CDTF">2023-10-13T15:22:55Z</dcterms:modified>
  <dc:title>四川省***</dc:title>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B7DB8A406FEE49FDAA7BBFFAED16A3BB_13</vt:lpwstr>
  </property>
</Properties>
</file>