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hint="eastAsia" w:ascii="黑体" w:hAnsi="Times New Roman" w:eastAsia="黑体"/>
          <w:color w:val="auto"/>
          <w:kern w:val="0"/>
          <w:sz w:val="32"/>
          <w:szCs w:val="32"/>
        </w:rPr>
      </w:pPr>
      <w:bookmarkStart w:id="0" w:name="_GoBack"/>
      <w:r>
        <w:rPr>
          <w:rFonts w:hint="eastAsia" w:ascii="黑体" w:hAnsi="Times New Roman" w:eastAsia="黑体"/>
          <w:color w:val="auto"/>
          <w:kern w:val="0"/>
          <w:sz w:val="32"/>
          <w:szCs w:val="32"/>
        </w:rPr>
        <w:t>附件2</w:t>
      </w:r>
    </w:p>
    <w:p>
      <w:pPr>
        <w:widowControl/>
        <w:jc w:val="center"/>
        <w:textAlignment w:val="center"/>
        <w:rPr>
          <w:rFonts w:hint="eastAsia" w:ascii="方正小标宋简体" w:eastAsia="方正小标宋简体"/>
          <w:color w:val="auto"/>
          <w:kern w:val="0"/>
          <w:sz w:val="40"/>
          <w:szCs w:val="40"/>
        </w:rPr>
      </w:pPr>
      <w:r>
        <w:rPr>
          <w:rFonts w:hint="eastAsia" w:ascii="方正小标宋简体" w:eastAsia="方正小标宋简体"/>
          <w:color w:val="auto"/>
          <w:kern w:val="0"/>
          <w:sz w:val="40"/>
          <w:szCs w:val="40"/>
        </w:rPr>
        <w:t>广元市</w:t>
      </w:r>
      <w:r>
        <w:rPr>
          <w:rFonts w:hint="eastAsia" w:ascii="方正小标宋简体" w:eastAsia="方正小标宋简体"/>
          <w:color w:val="auto"/>
          <w:kern w:val="0"/>
          <w:sz w:val="40"/>
          <w:szCs w:val="40"/>
          <w:lang w:val="en-US" w:eastAsia="zh-CN"/>
        </w:rPr>
        <w:t>昭化区</w:t>
      </w:r>
      <w:r>
        <w:rPr>
          <w:rFonts w:hint="eastAsia" w:ascii="方正小标宋简体" w:eastAsia="方正小标宋简体"/>
          <w:color w:val="auto"/>
          <w:kern w:val="0"/>
          <w:sz w:val="40"/>
          <w:szCs w:val="40"/>
        </w:rPr>
        <w:t>2023年度政府定价的涉企经营服务性收费目录清单</w:t>
      </w:r>
    </w:p>
    <w:bookmarkEnd w:id="0"/>
    <w:tbl>
      <w:tblPr>
        <w:tblStyle w:val="4"/>
        <w:tblW w:w="14535" w:type="dxa"/>
        <w:tblInd w:w="-267"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675"/>
        <w:gridCol w:w="1935"/>
        <w:gridCol w:w="1770"/>
        <w:gridCol w:w="4170"/>
        <w:gridCol w:w="2010"/>
        <w:gridCol w:w="1500"/>
        <w:gridCol w:w="247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黑体" w:hAnsi="黑体" w:eastAsia="黑体" w:cs="黑体"/>
                <w:color w:val="auto"/>
                <w:kern w:val="0"/>
                <w:sz w:val="21"/>
                <w:szCs w:val="22"/>
                <w:lang w:val="en-US" w:eastAsia="zh-CN"/>
              </w:rPr>
            </w:pPr>
            <w:r>
              <w:rPr>
                <w:rFonts w:hint="eastAsia" w:ascii="黑体" w:hAnsi="黑体" w:eastAsia="黑体" w:cs="黑体"/>
                <w:color w:val="auto"/>
                <w:kern w:val="0"/>
                <w:sz w:val="21"/>
                <w:szCs w:val="22"/>
                <w:lang w:val="en-US" w:eastAsia="zh-CN"/>
              </w:rPr>
              <w:t>序号</w:t>
            </w:r>
          </w:p>
        </w:tc>
        <w:tc>
          <w:tcPr>
            <w:tcW w:w="1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ascii="黑体" w:hAnsi="黑体" w:eastAsia="黑体" w:cs="黑体"/>
                <w:color w:val="auto"/>
                <w:kern w:val="0"/>
                <w:sz w:val="21"/>
                <w:szCs w:val="22"/>
                <w:lang w:val="en-US" w:eastAsia="zh-CN"/>
              </w:rPr>
            </w:pPr>
            <w:r>
              <w:rPr>
                <w:rFonts w:hint="eastAsia" w:ascii="黑体" w:hAnsi="黑体" w:eastAsia="黑体" w:cs="黑体"/>
                <w:color w:val="auto"/>
                <w:kern w:val="0"/>
                <w:sz w:val="21"/>
                <w:szCs w:val="22"/>
                <w:lang w:val="en-US" w:eastAsia="zh-CN"/>
              </w:rPr>
              <w:t>收费项目</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80" w:lineRule="exact"/>
              <w:ind w:right="136"/>
              <w:jc w:val="center"/>
              <w:textAlignment w:val="center"/>
              <w:rPr>
                <w:rFonts w:hint="eastAsia" w:ascii="黑体" w:hAnsi="Times New Roman" w:eastAsia="黑体"/>
                <w:color w:val="auto"/>
                <w:kern w:val="0"/>
                <w:sz w:val="21"/>
                <w:szCs w:val="21"/>
              </w:rPr>
            </w:pPr>
            <w:r>
              <w:rPr>
                <w:rFonts w:hint="eastAsia" w:ascii="黑体" w:hAnsi="Times New Roman" w:eastAsia="黑体"/>
                <w:color w:val="auto"/>
                <w:kern w:val="0"/>
                <w:sz w:val="21"/>
                <w:szCs w:val="21"/>
              </w:rPr>
              <w:t>行业主管部门</w:t>
            </w:r>
          </w:p>
        </w:tc>
        <w:tc>
          <w:tcPr>
            <w:tcW w:w="4170" w:type="dxa"/>
            <w:tcBorders>
              <w:top w:val="single" w:color="auto" w:sz="4" w:space="0"/>
              <w:left w:val="nil"/>
              <w:bottom w:val="single" w:color="auto" w:sz="4" w:space="0"/>
              <w:right w:val="single" w:color="auto" w:sz="4" w:space="0"/>
            </w:tcBorders>
            <w:noWrap w:val="0"/>
            <w:vAlign w:val="center"/>
          </w:tcPr>
          <w:p>
            <w:pPr>
              <w:widowControl/>
              <w:spacing w:line="280" w:lineRule="exact"/>
              <w:ind w:right="136"/>
              <w:jc w:val="center"/>
              <w:textAlignment w:val="center"/>
              <w:rPr>
                <w:rFonts w:hint="eastAsia" w:ascii="黑体" w:hAnsi="Times New Roman" w:eastAsia="黑体"/>
                <w:color w:val="auto"/>
                <w:kern w:val="0"/>
                <w:sz w:val="21"/>
                <w:szCs w:val="21"/>
              </w:rPr>
            </w:pPr>
            <w:r>
              <w:rPr>
                <w:rFonts w:hint="eastAsia" w:ascii="黑体" w:hAnsi="Times New Roman" w:eastAsia="黑体"/>
                <w:color w:val="auto"/>
                <w:kern w:val="0"/>
                <w:sz w:val="21"/>
                <w:szCs w:val="21"/>
              </w:rPr>
              <w:t>收费文件</w:t>
            </w:r>
          </w:p>
        </w:tc>
        <w:tc>
          <w:tcPr>
            <w:tcW w:w="2010" w:type="dxa"/>
            <w:tcBorders>
              <w:top w:val="single" w:color="auto" w:sz="4" w:space="0"/>
              <w:left w:val="nil"/>
              <w:bottom w:val="single" w:color="auto" w:sz="4" w:space="0"/>
              <w:right w:val="single" w:color="auto" w:sz="4" w:space="0"/>
            </w:tcBorders>
            <w:noWrap w:val="0"/>
            <w:vAlign w:val="center"/>
          </w:tcPr>
          <w:p>
            <w:pPr>
              <w:widowControl/>
              <w:spacing w:line="280" w:lineRule="exact"/>
              <w:ind w:right="136"/>
              <w:jc w:val="center"/>
              <w:textAlignment w:val="center"/>
              <w:rPr>
                <w:rFonts w:hint="eastAsia" w:ascii="黑体" w:hAnsi="Times New Roman" w:eastAsia="黑体"/>
                <w:color w:val="auto"/>
                <w:kern w:val="0"/>
                <w:sz w:val="21"/>
                <w:szCs w:val="21"/>
              </w:rPr>
            </w:pPr>
            <w:r>
              <w:rPr>
                <w:rFonts w:hint="eastAsia" w:ascii="黑体" w:hAnsi="Times New Roman" w:eastAsia="黑体"/>
                <w:color w:val="auto"/>
                <w:kern w:val="0"/>
                <w:sz w:val="21"/>
                <w:szCs w:val="21"/>
              </w:rPr>
              <w:t>收费范围和对象</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80" w:lineRule="exact"/>
              <w:ind w:right="136"/>
              <w:jc w:val="center"/>
              <w:textAlignment w:val="center"/>
              <w:rPr>
                <w:rFonts w:hint="eastAsia" w:ascii="黑体" w:hAnsi="Times New Roman" w:eastAsia="黑体"/>
                <w:color w:val="auto"/>
                <w:kern w:val="0"/>
                <w:sz w:val="21"/>
                <w:szCs w:val="21"/>
              </w:rPr>
            </w:pPr>
            <w:r>
              <w:rPr>
                <w:rFonts w:hint="eastAsia" w:ascii="黑体" w:hAnsi="Times New Roman" w:eastAsia="黑体"/>
                <w:color w:val="auto"/>
                <w:kern w:val="0"/>
                <w:sz w:val="21"/>
                <w:szCs w:val="21"/>
              </w:rPr>
              <w:t>收费标准</w:t>
            </w:r>
          </w:p>
        </w:tc>
        <w:tc>
          <w:tcPr>
            <w:tcW w:w="2475" w:type="dxa"/>
            <w:tcBorders>
              <w:top w:val="single" w:color="auto" w:sz="4" w:space="0"/>
              <w:left w:val="nil"/>
              <w:bottom w:val="single" w:color="auto" w:sz="4" w:space="0"/>
              <w:right w:val="single" w:color="auto" w:sz="4" w:space="0"/>
            </w:tcBorders>
            <w:noWrap w:val="0"/>
            <w:vAlign w:val="center"/>
          </w:tcPr>
          <w:p>
            <w:pPr>
              <w:widowControl/>
              <w:spacing w:line="280" w:lineRule="exact"/>
              <w:ind w:right="136"/>
              <w:jc w:val="center"/>
              <w:textAlignment w:val="center"/>
              <w:rPr>
                <w:rFonts w:hint="eastAsia" w:ascii="黑体" w:hAnsi="Times New Roman" w:eastAsia="黑体"/>
                <w:color w:val="auto"/>
                <w:kern w:val="0"/>
                <w:sz w:val="21"/>
                <w:szCs w:val="21"/>
              </w:rPr>
            </w:pPr>
            <w:r>
              <w:rPr>
                <w:rFonts w:hint="eastAsia" w:ascii="黑体" w:hAnsi="Times New Roman" w:eastAsia="黑体"/>
                <w:color w:val="auto"/>
                <w:kern w:val="0"/>
                <w:sz w:val="21"/>
                <w:szCs w:val="21"/>
              </w:rPr>
              <w:t>执收单位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71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1</w:t>
            </w:r>
          </w:p>
        </w:tc>
        <w:tc>
          <w:tcPr>
            <w:tcW w:w="1935"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停车收费</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交通运输</w:t>
            </w:r>
          </w:p>
        </w:tc>
        <w:tc>
          <w:tcPr>
            <w:tcW w:w="417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lang w:eastAsia="zh-CN"/>
              </w:rPr>
            </w:pPr>
            <w:r>
              <w:rPr>
                <w:rFonts w:hint="eastAsia" w:ascii="宋体" w:hAnsi="Times New Roman" w:eastAsia="宋体"/>
                <w:color w:val="auto"/>
                <w:kern w:val="0"/>
                <w:sz w:val="20"/>
                <w:szCs w:val="20"/>
              </w:rPr>
              <w:t>川发改价格规〔2021〕237号，川发改价格〔2013〕1046号，川发改价格〔2018〕332号，广府办发〔2021〕21号</w:t>
            </w:r>
            <w:r>
              <w:rPr>
                <w:rFonts w:hint="eastAsia" w:ascii="宋体" w:hAnsi="Times New Roman" w:eastAsia="宋体"/>
                <w:color w:val="auto"/>
                <w:kern w:val="0"/>
                <w:sz w:val="20"/>
                <w:szCs w:val="20"/>
                <w:lang w:eastAsia="zh-CN"/>
              </w:rPr>
              <w:t>，</w:t>
            </w:r>
            <w:r>
              <w:rPr>
                <w:rFonts w:hint="eastAsia" w:ascii="宋体" w:hAnsi="Times New Roman" w:eastAsia="宋体"/>
                <w:color w:val="auto"/>
                <w:kern w:val="0"/>
                <w:sz w:val="20"/>
                <w:szCs w:val="20"/>
                <w:lang w:val="en-US" w:eastAsia="zh-CN"/>
              </w:rPr>
              <w:t>昭发改发</w:t>
            </w:r>
            <w:r>
              <w:rPr>
                <w:rFonts w:hint="eastAsia" w:ascii="宋体" w:hAnsi="Times New Roman" w:eastAsia="宋体"/>
                <w:color w:val="auto"/>
                <w:kern w:val="0"/>
                <w:sz w:val="20"/>
                <w:szCs w:val="20"/>
                <w:lang w:eastAsia="zh-CN"/>
              </w:rPr>
              <w:t>〔20</w:t>
            </w:r>
            <w:r>
              <w:rPr>
                <w:rFonts w:hint="eastAsia" w:ascii="宋体" w:hAnsi="Times New Roman" w:eastAsia="宋体"/>
                <w:color w:val="auto"/>
                <w:kern w:val="0"/>
                <w:sz w:val="20"/>
                <w:szCs w:val="20"/>
                <w:lang w:val="en-US" w:eastAsia="zh-CN"/>
              </w:rPr>
              <w:t>18</w:t>
            </w:r>
            <w:r>
              <w:rPr>
                <w:rFonts w:hint="eastAsia" w:ascii="宋体" w:hAnsi="Times New Roman" w:eastAsia="宋体"/>
                <w:color w:val="auto"/>
                <w:kern w:val="0"/>
                <w:sz w:val="20"/>
                <w:szCs w:val="20"/>
                <w:lang w:eastAsia="zh-CN"/>
              </w:rPr>
              <w:t>〕</w:t>
            </w:r>
            <w:r>
              <w:rPr>
                <w:rFonts w:hint="eastAsia" w:ascii="宋体" w:hAnsi="Times New Roman" w:eastAsia="宋体"/>
                <w:color w:val="auto"/>
                <w:kern w:val="0"/>
                <w:sz w:val="20"/>
                <w:szCs w:val="20"/>
                <w:lang w:val="en-US" w:eastAsia="zh-CN"/>
              </w:rPr>
              <w:t>507号，昭发改发</w:t>
            </w:r>
            <w:r>
              <w:rPr>
                <w:rFonts w:hint="eastAsia" w:ascii="宋体" w:hAnsi="Times New Roman" w:eastAsia="宋体"/>
                <w:color w:val="auto"/>
                <w:kern w:val="0"/>
                <w:sz w:val="20"/>
                <w:szCs w:val="20"/>
                <w:lang w:eastAsia="zh-CN"/>
              </w:rPr>
              <w:t>〔20</w:t>
            </w:r>
            <w:r>
              <w:rPr>
                <w:rFonts w:hint="eastAsia" w:ascii="宋体" w:hAnsi="Times New Roman" w:eastAsia="宋体"/>
                <w:color w:val="auto"/>
                <w:kern w:val="0"/>
                <w:sz w:val="20"/>
                <w:szCs w:val="20"/>
                <w:lang w:val="en-US" w:eastAsia="zh-CN"/>
              </w:rPr>
              <w:t>21</w:t>
            </w:r>
            <w:r>
              <w:rPr>
                <w:rFonts w:hint="eastAsia" w:ascii="宋体" w:hAnsi="Times New Roman" w:eastAsia="宋体"/>
                <w:color w:val="auto"/>
                <w:kern w:val="0"/>
                <w:sz w:val="20"/>
                <w:szCs w:val="20"/>
                <w:lang w:eastAsia="zh-CN"/>
              </w:rPr>
              <w:t>〕</w:t>
            </w:r>
            <w:r>
              <w:rPr>
                <w:rFonts w:hint="eastAsia" w:ascii="宋体" w:hAnsi="Times New Roman" w:eastAsia="宋体"/>
                <w:color w:val="auto"/>
                <w:kern w:val="0"/>
                <w:sz w:val="20"/>
                <w:szCs w:val="20"/>
                <w:lang w:val="en-US" w:eastAsia="zh-CN"/>
              </w:rPr>
              <w:t>26号，昭发改发</w:t>
            </w:r>
            <w:r>
              <w:rPr>
                <w:rFonts w:hint="eastAsia" w:ascii="宋体" w:hAnsi="Times New Roman" w:eastAsia="宋体"/>
                <w:color w:val="auto"/>
                <w:kern w:val="0"/>
                <w:sz w:val="20"/>
                <w:szCs w:val="20"/>
                <w:lang w:eastAsia="zh-CN"/>
              </w:rPr>
              <w:t>〔20</w:t>
            </w:r>
            <w:r>
              <w:rPr>
                <w:rFonts w:hint="eastAsia" w:ascii="宋体" w:hAnsi="Times New Roman" w:eastAsia="宋体"/>
                <w:color w:val="auto"/>
                <w:kern w:val="0"/>
                <w:sz w:val="20"/>
                <w:szCs w:val="20"/>
                <w:lang w:val="en-US" w:eastAsia="zh-CN"/>
              </w:rPr>
              <w:t>22</w:t>
            </w:r>
            <w:r>
              <w:rPr>
                <w:rFonts w:hint="eastAsia" w:ascii="宋体" w:hAnsi="Times New Roman" w:eastAsia="宋体"/>
                <w:color w:val="auto"/>
                <w:kern w:val="0"/>
                <w:sz w:val="20"/>
                <w:szCs w:val="20"/>
                <w:lang w:eastAsia="zh-CN"/>
              </w:rPr>
              <w:t>〕</w:t>
            </w:r>
            <w:r>
              <w:rPr>
                <w:rFonts w:hint="eastAsia" w:ascii="宋体" w:hAnsi="Times New Roman" w:eastAsia="宋体"/>
                <w:color w:val="auto"/>
                <w:kern w:val="0"/>
                <w:sz w:val="20"/>
                <w:szCs w:val="20"/>
                <w:lang w:val="en-US" w:eastAsia="zh-CN"/>
              </w:rPr>
              <w:t>100号，昭发改函</w:t>
            </w:r>
            <w:r>
              <w:rPr>
                <w:rFonts w:hint="eastAsia" w:ascii="宋体" w:hAnsi="Times New Roman" w:eastAsia="宋体"/>
                <w:color w:val="auto"/>
                <w:kern w:val="0"/>
                <w:sz w:val="20"/>
                <w:szCs w:val="20"/>
                <w:lang w:eastAsia="zh-CN"/>
              </w:rPr>
              <w:t>〔20</w:t>
            </w:r>
            <w:r>
              <w:rPr>
                <w:rFonts w:hint="eastAsia" w:ascii="宋体" w:hAnsi="Times New Roman" w:eastAsia="宋体"/>
                <w:color w:val="auto"/>
                <w:kern w:val="0"/>
                <w:sz w:val="20"/>
                <w:szCs w:val="20"/>
                <w:lang w:val="en-US" w:eastAsia="zh-CN"/>
              </w:rPr>
              <w:t>13</w:t>
            </w:r>
            <w:r>
              <w:rPr>
                <w:rFonts w:hint="eastAsia" w:ascii="宋体" w:hAnsi="Times New Roman" w:eastAsia="宋体"/>
                <w:color w:val="auto"/>
                <w:kern w:val="0"/>
                <w:sz w:val="20"/>
                <w:szCs w:val="20"/>
                <w:lang w:eastAsia="zh-CN"/>
              </w:rPr>
              <w:t>〕</w:t>
            </w:r>
            <w:r>
              <w:rPr>
                <w:rFonts w:hint="eastAsia" w:ascii="宋体" w:hAnsi="Times New Roman" w:eastAsia="宋体"/>
                <w:color w:val="auto"/>
                <w:kern w:val="0"/>
                <w:sz w:val="20"/>
                <w:szCs w:val="20"/>
                <w:lang w:val="en-US" w:eastAsia="zh-CN"/>
              </w:rPr>
              <w:t>6号</w:t>
            </w:r>
          </w:p>
        </w:tc>
        <w:tc>
          <w:tcPr>
            <w:tcW w:w="201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企业和个人</w:t>
            </w:r>
          </w:p>
        </w:tc>
        <w:tc>
          <w:tcPr>
            <w:tcW w:w="1500" w:type="dxa"/>
            <w:vMerge w:val="restart"/>
            <w:tcBorders>
              <w:top w:val="nil"/>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详见文件</w:t>
            </w:r>
          </w:p>
        </w:tc>
        <w:tc>
          <w:tcPr>
            <w:tcW w:w="2475"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停车场（泊位）经营管理单位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5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2</w:t>
            </w:r>
          </w:p>
        </w:tc>
        <w:tc>
          <w:tcPr>
            <w:tcW w:w="1935"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lang w:val="en-US" w:eastAsia="zh-CN"/>
              </w:rPr>
            </w:pPr>
            <w:r>
              <w:rPr>
                <w:rFonts w:hint="eastAsia" w:ascii="宋体" w:hAnsi="Times New Roman" w:eastAsia="宋体"/>
                <w:color w:val="auto"/>
                <w:kern w:val="0"/>
                <w:sz w:val="20"/>
                <w:szCs w:val="20"/>
              </w:rPr>
              <w:t>非居民生活垃圾处理收费</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住建部门</w:t>
            </w:r>
          </w:p>
          <w:p>
            <w:pPr>
              <w:widowControl/>
              <w:spacing w:line="240" w:lineRule="exact"/>
              <w:ind w:right="135"/>
              <w:jc w:val="center"/>
              <w:textAlignment w:val="center"/>
              <w:rPr>
                <w:rFonts w:hint="eastAsia" w:ascii="宋体" w:hAnsi="Times New Roman" w:eastAsia="宋体"/>
                <w:color w:val="auto"/>
                <w:kern w:val="0"/>
                <w:sz w:val="20"/>
                <w:szCs w:val="20"/>
                <w:lang w:val="en-US" w:eastAsia="zh-CN"/>
              </w:rPr>
            </w:pPr>
            <w:r>
              <w:rPr>
                <w:rFonts w:hint="eastAsia" w:ascii="宋体" w:hAnsi="Times New Roman" w:eastAsia="宋体"/>
                <w:color w:val="auto"/>
                <w:kern w:val="0"/>
                <w:sz w:val="20"/>
                <w:szCs w:val="20"/>
              </w:rPr>
              <w:t>城管部门</w:t>
            </w:r>
          </w:p>
        </w:tc>
        <w:tc>
          <w:tcPr>
            <w:tcW w:w="417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lang w:val="en-US" w:eastAsia="zh-CN"/>
              </w:rPr>
            </w:pPr>
            <w:r>
              <w:rPr>
                <w:rFonts w:hint="eastAsia" w:ascii="宋体" w:hAnsi="Times New Roman" w:eastAsia="宋体"/>
                <w:color w:val="auto"/>
                <w:kern w:val="0"/>
                <w:sz w:val="20"/>
                <w:szCs w:val="20"/>
              </w:rPr>
              <w:t>广府发〔2016〕17号，广发改〔2016〕514号</w:t>
            </w:r>
            <w:r>
              <w:rPr>
                <w:rFonts w:hint="eastAsia" w:ascii="宋体" w:hAnsi="Times New Roman" w:eastAsia="宋体"/>
                <w:color w:val="auto"/>
                <w:kern w:val="0"/>
                <w:sz w:val="20"/>
                <w:szCs w:val="20"/>
                <w:lang w:eastAsia="zh-CN"/>
              </w:rPr>
              <w:t>，元区价</w:t>
            </w:r>
            <w:r>
              <w:rPr>
                <w:rFonts w:hint="eastAsia" w:ascii="宋体" w:hAnsi="Times New Roman" w:eastAsia="宋体"/>
                <w:color w:val="auto"/>
                <w:kern w:val="0"/>
                <w:sz w:val="20"/>
                <w:szCs w:val="20"/>
              </w:rPr>
              <w:t>〔20</w:t>
            </w:r>
            <w:r>
              <w:rPr>
                <w:rFonts w:hint="eastAsia" w:ascii="宋体" w:hAnsi="Times New Roman" w:eastAsia="宋体"/>
                <w:color w:val="auto"/>
                <w:kern w:val="0"/>
                <w:sz w:val="20"/>
                <w:szCs w:val="20"/>
                <w:lang w:val="en-US" w:eastAsia="zh-CN"/>
              </w:rPr>
              <w:t>00</w:t>
            </w:r>
            <w:r>
              <w:rPr>
                <w:rFonts w:hint="eastAsia" w:ascii="宋体" w:hAnsi="Times New Roman" w:eastAsia="宋体"/>
                <w:color w:val="auto"/>
                <w:kern w:val="0"/>
                <w:sz w:val="20"/>
                <w:szCs w:val="20"/>
              </w:rPr>
              <w:t>〕</w:t>
            </w:r>
            <w:r>
              <w:rPr>
                <w:rFonts w:hint="eastAsia" w:ascii="宋体" w:hAnsi="Times New Roman" w:eastAsia="宋体"/>
                <w:color w:val="auto"/>
                <w:kern w:val="0"/>
                <w:sz w:val="20"/>
                <w:szCs w:val="20"/>
                <w:lang w:val="en-US" w:eastAsia="zh-CN"/>
              </w:rPr>
              <w:t>45</w:t>
            </w:r>
            <w:r>
              <w:rPr>
                <w:rFonts w:hint="eastAsia" w:ascii="宋体" w:hAnsi="Times New Roman" w:eastAsia="宋体"/>
                <w:color w:val="auto"/>
                <w:kern w:val="0"/>
                <w:sz w:val="20"/>
                <w:szCs w:val="20"/>
              </w:rPr>
              <w:t>号</w:t>
            </w:r>
          </w:p>
        </w:tc>
        <w:tc>
          <w:tcPr>
            <w:tcW w:w="201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lang w:val="en-US" w:eastAsia="zh-CN"/>
              </w:rPr>
            </w:pPr>
            <w:r>
              <w:rPr>
                <w:rFonts w:hint="eastAsia" w:ascii="宋体" w:hAnsi="Times New Roman" w:eastAsia="宋体"/>
                <w:color w:val="auto"/>
                <w:kern w:val="0"/>
                <w:sz w:val="20"/>
                <w:szCs w:val="20"/>
              </w:rPr>
              <w:t>企业和个人</w:t>
            </w:r>
          </w:p>
        </w:tc>
        <w:tc>
          <w:tcPr>
            <w:tcW w:w="1500" w:type="dxa"/>
            <w:vMerge w:val="continue"/>
            <w:tcBorders>
              <w:top w:val="nil"/>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lang w:val="en-US" w:eastAsia="zh-CN"/>
              </w:rPr>
            </w:pPr>
          </w:p>
        </w:tc>
        <w:tc>
          <w:tcPr>
            <w:tcW w:w="2475"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lang w:val="en-US" w:eastAsia="zh-CN"/>
              </w:rPr>
            </w:pPr>
            <w:r>
              <w:rPr>
                <w:rFonts w:hint="eastAsia" w:ascii="宋体" w:hAnsi="Times New Roman" w:eastAsia="宋体"/>
                <w:color w:val="auto"/>
                <w:kern w:val="0"/>
                <w:sz w:val="20"/>
                <w:szCs w:val="20"/>
                <w:lang w:val="en-US" w:eastAsia="zh-CN"/>
              </w:rPr>
              <w:t>区级由</w:t>
            </w:r>
            <w:r>
              <w:rPr>
                <w:rFonts w:hint="eastAsia" w:ascii="宋体" w:hAnsi="Times New Roman" w:eastAsia="宋体"/>
                <w:color w:val="auto"/>
                <w:kern w:val="0"/>
                <w:sz w:val="20"/>
                <w:szCs w:val="20"/>
              </w:rPr>
              <w:t>区</w:t>
            </w:r>
            <w:r>
              <w:rPr>
                <w:rFonts w:hint="eastAsia" w:ascii="宋体" w:hAnsi="Times New Roman" w:eastAsia="宋体"/>
                <w:color w:val="auto"/>
                <w:kern w:val="0"/>
                <w:sz w:val="20"/>
                <w:szCs w:val="20"/>
                <w:lang w:val="en-US" w:eastAsia="zh-CN"/>
              </w:rPr>
              <w:t>国税</w:t>
            </w:r>
            <w:r>
              <w:rPr>
                <w:rFonts w:hint="eastAsia" w:ascii="宋体" w:hAnsi="Times New Roman" w:eastAsia="宋体"/>
                <w:color w:val="auto"/>
                <w:kern w:val="0"/>
                <w:sz w:val="20"/>
                <w:szCs w:val="20"/>
              </w:rPr>
              <w:t>局执收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3</w:t>
            </w:r>
          </w:p>
        </w:tc>
        <w:tc>
          <w:tcPr>
            <w:tcW w:w="1935"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危险废物处置费</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卫健部门</w:t>
            </w:r>
          </w:p>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城管部门</w:t>
            </w:r>
          </w:p>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住建部门</w:t>
            </w:r>
          </w:p>
        </w:tc>
        <w:tc>
          <w:tcPr>
            <w:tcW w:w="417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川发改价格〔2011〕1776号，广府发〔2012〕18号，广发改〔2015〕16号</w:t>
            </w:r>
          </w:p>
        </w:tc>
        <w:tc>
          <w:tcPr>
            <w:tcW w:w="201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企业和个人</w:t>
            </w:r>
          </w:p>
        </w:tc>
        <w:tc>
          <w:tcPr>
            <w:tcW w:w="1500" w:type="dxa"/>
            <w:vMerge w:val="continue"/>
            <w:tcBorders>
              <w:top w:val="nil"/>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p>
        </w:tc>
        <w:tc>
          <w:tcPr>
            <w:tcW w:w="2475"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由</w:t>
            </w:r>
            <w:r>
              <w:rPr>
                <w:rFonts w:hint="eastAsia" w:ascii="宋体" w:hAnsi="Times New Roman" w:eastAsia="宋体"/>
                <w:color w:val="auto"/>
                <w:kern w:val="0"/>
                <w:sz w:val="20"/>
                <w:szCs w:val="20"/>
                <w:lang w:val="en-US" w:eastAsia="zh-CN"/>
              </w:rPr>
              <w:t>市</w:t>
            </w:r>
            <w:r>
              <w:rPr>
                <w:rFonts w:hint="eastAsia" w:ascii="宋体" w:hAnsi="Times New Roman" w:eastAsia="宋体"/>
                <w:color w:val="auto"/>
                <w:kern w:val="0"/>
                <w:sz w:val="20"/>
                <w:szCs w:val="20"/>
              </w:rPr>
              <w:t>环卫局执收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4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lang w:val="en-US" w:eastAsia="zh-CN"/>
              </w:rPr>
            </w:pPr>
            <w:r>
              <w:rPr>
                <w:rFonts w:hint="eastAsia" w:ascii="宋体" w:hAnsi="Times New Roman" w:eastAsia="宋体"/>
                <w:color w:val="auto"/>
                <w:kern w:val="0"/>
                <w:sz w:val="20"/>
                <w:szCs w:val="20"/>
                <w:lang w:val="en-US" w:eastAsia="zh-CN"/>
              </w:rPr>
              <w:t>4</w:t>
            </w:r>
          </w:p>
        </w:tc>
        <w:tc>
          <w:tcPr>
            <w:tcW w:w="1935"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生猪定点屠宰服务收费</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农业农村</w:t>
            </w:r>
          </w:p>
        </w:tc>
        <w:tc>
          <w:tcPr>
            <w:tcW w:w="417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lang w:eastAsia="zh-CN"/>
              </w:rPr>
            </w:pPr>
            <w:r>
              <w:rPr>
                <w:rFonts w:hint="eastAsia" w:ascii="宋体" w:hAnsi="Times New Roman" w:eastAsia="宋体"/>
                <w:color w:val="auto"/>
                <w:kern w:val="0"/>
                <w:sz w:val="20"/>
                <w:szCs w:val="20"/>
              </w:rPr>
              <w:t>川办函﹝2007﹞246号，广价费〔2008〕64</w:t>
            </w:r>
            <w:r>
              <w:rPr>
                <w:rFonts w:hint="eastAsia" w:ascii="宋体" w:hAnsi="Times New Roman" w:eastAsia="宋体"/>
                <w:color w:val="auto"/>
                <w:kern w:val="0"/>
                <w:sz w:val="20"/>
                <w:szCs w:val="20"/>
                <w:lang w:val="en-US" w:eastAsia="zh-CN"/>
              </w:rPr>
              <w:t>号</w:t>
            </w:r>
            <w:r>
              <w:rPr>
                <w:rFonts w:hint="eastAsia" w:ascii="宋体" w:hAnsi="Times New Roman" w:eastAsia="宋体"/>
                <w:color w:val="auto"/>
                <w:kern w:val="0"/>
                <w:sz w:val="20"/>
                <w:szCs w:val="20"/>
                <w:lang w:eastAsia="zh-CN"/>
              </w:rPr>
              <w:t>、</w:t>
            </w:r>
            <w:r>
              <w:rPr>
                <w:rFonts w:hint="eastAsia" w:ascii="宋体" w:hAnsi="Times New Roman" w:eastAsia="宋体"/>
                <w:color w:val="auto"/>
                <w:kern w:val="0"/>
                <w:sz w:val="20"/>
                <w:szCs w:val="20"/>
                <w:lang w:val="en-US" w:eastAsia="zh-CN"/>
              </w:rPr>
              <w:t>元</w:t>
            </w:r>
            <w:r>
              <w:rPr>
                <w:rFonts w:hint="eastAsia" w:ascii="宋体" w:hAnsi="Times New Roman" w:eastAsia="宋体"/>
                <w:color w:val="auto"/>
                <w:kern w:val="0"/>
                <w:sz w:val="20"/>
                <w:szCs w:val="20"/>
                <w:lang w:eastAsia="zh-CN"/>
              </w:rPr>
              <w:t>发改</w:t>
            </w:r>
            <w:r>
              <w:rPr>
                <w:rFonts w:hint="eastAsia" w:ascii="宋体" w:hAnsi="Times New Roman" w:eastAsia="宋体"/>
                <w:color w:val="auto"/>
                <w:kern w:val="0"/>
                <w:sz w:val="20"/>
                <w:szCs w:val="20"/>
                <w:lang w:val="en-US" w:eastAsia="zh-CN"/>
              </w:rPr>
              <w:t>价</w:t>
            </w:r>
            <w:r>
              <w:rPr>
                <w:rFonts w:hint="eastAsia" w:ascii="宋体" w:hAnsi="Times New Roman" w:eastAsia="宋体"/>
                <w:color w:val="auto"/>
                <w:kern w:val="0"/>
                <w:sz w:val="20"/>
                <w:szCs w:val="20"/>
                <w:lang w:eastAsia="zh-CN"/>
              </w:rPr>
              <w:t>〔20</w:t>
            </w:r>
            <w:r>
              <w:rPr>
                <w:rFonts w:hint="eastAsia" w:ascii="宋体" w:hAnsi="Times New Roman" w:eastAsia="宋体"/>
                <w:color w:val="auto"/>
                <w:kern w:val="0"/>
                <w:sz w:val="20"/>
                <w:szCs w:val="20"/>
                <w:lang w:val="en-US" w:eastAsia="zh-CN"/>
              </w:rPr>
              <w:t>13</w:t>
            </w:r>
            <w:r>
              <w:rPr>
                <w:rFonts w:hint="eastAsia" w:ascii="宋体" w:hAnsi="Times New Roman" w:eastAsia="宋体"/>
                <w:color w:val="auto"/>
                <w:kern w:val="0"/>
                <w:sz w:val="20"/>
                <w:szCs w:val="20"/>
                <w:lang w:eastAsia="zh-CN"/>
              </w:rPr>
              <w:t>〕</w:t>
            </w:r>
            <w:r>
              <w:rPr>
                <w:rFonts w:hint="eastAsia" w:ascii="宋体" w:hAnsi="Times New Roman" w:eastAsia="宋体"/>
                <w:color w:val="auto"/>
                <w:kern w:val="0"/>
                <w:sz w:val="20"/>
                <w:szCs w:val="20"/>
                <w:lang w:val="en-US" w:eastAsia="zh-CN"/>
              </w:rPr>
              <w:t>38</w:t>
            </w:r>
            <w:r>
              <w:rPr>
                <w:rFonts w:hint="eastAsia" w:ascii="宋体" w:hAnsi="Times New Roman" w:eastAsia="宋体"/>
                <w:color w:val="auto"/>
                <w:kern w:val="0"/>
                <w:sz w:val="20"/>
                <w:szCs w:val="20"/>
                <w:lang w:eastAsia="zh-CN"/>
              </w:rPr>
              <w:t>号</w:t>
            </w:r>
          </w:p>
        </w:tc>
        <w:tc>
          <w:tcPr>
            <w:tcW w:w="2010"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企业和个人</w:t>
            </w:r>
          </w:p>
        </w:tc>
        <w:tc>
          <w:tcPr>
            <w:tcW w:w="1500" w:type="dxa"/>
            <w:vMerge w:val="continue"/>
            <w:tcBorders>
              <w:top w:val="nil"/>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p>
        </w:tc>
        <w:tc>
          <w:tcPr>
            <w:tcW w:w="2475" w:type="dxa"/>
            <w:tcBorders>
              <w:top w:val="single" w:color="auto" w:sz="4" w:space="0"/>
              <w:left w:val="nil"/>
              <w:bottom w:val="single" w:color="auto" w:sz="4" w:space="0"/>
              <w:right w:val="single" w:color="auto" w:sz="4" w:space="0"/>
            </w:tcBorders>
            <w:noWrap w:val="0"/>
            <w:vAlign w:val="center"/>
          </w:tcPr>
          <w:p>
            <w:pPr>
              <w:widowControl/>
              <w:spacing w:line="240" w:lineRule="exact"/>
              <w:ind w:right="135"/>
              <w:jc w:val="center"/>
              <w:textAlignment w:val="center"/>
              <w:rPr>
                <w:rFonts w:hint="eastAsia" w:ascii="宋体" w:hAnsi="Times New Roman" w:eastAsia="宋体"/>
                <w:color w:val="auto"/>
                <w:kern w:val="0"/>
                <w:sz w:val="20"/>
                <w:szCs w:val="20"/>
              </w:rPr>
            </w:pPr>
            <w:r>
              <w:rPr>
                <w:rFonts w:hint="eastAsia" w:ascii="宋体" w:hAnsi="Times New Roman" w:eastAsia="宋体"/>
                <w:color w:val="auto"/>
                <w:kern w:val="0"/>
                <w:sz w:val="20"/>
                <w:szCs w:val="20"/>
              </w:rPr>
              <w:t>生猪定点屠宰机构</w:t>
            </w:r>
          </w:p>
        </w:tc>
      </w:tr>
    </w:tbl>
    <w:p>
      <w:pPr>
        <w:widowControl/>
        <w:spacing w:line="400" w:lineRule="exact"/>
        <w:jc w:val="left"/>
        <w:textAlignment w:val="center"/>
        <w:rPr>
          <w:rFonts w:hint="eastAsia" w:ascii="宋体"/>
          <w:color w:val="auto"/>
          <w:kern w:val="0"/>
          <w:sz w:val="20"/>
          <w:szCs w:val="20"/>
        </w:rPr>
      </w:pPr>
      <w:r>
        <w:rPr>
          <w:rFonts w:hint="eastAsia" w:ascii="宋体"/>
          <w:color w:val="auto"/>
          <w:kern w:val="0"/>
          <w:sz w:val="20"/>
          <w:szCs w:val="20"/>
        </w:rPr>
        <w:t>备注：1.目录清单中的相关收费项目和收费标准由定价部门负责解释，具体收费标准详见文件。</w:t>
      </w:r>
    </w:p>
    <w:p>
      <w:pPr>
        <w:widowControl/>
        <w:spacing w:line="400" w:lineRule="exact"/>
        <w:jc w:val="left"/>
        <w:textAlignment w:val="center"/>
        <w:rPr>
          <w:rFonts w:hint="eastAsia" w:ascii="宋体"/>
          <w:color w:val="auto"/>
          <w:kern w:val="0"/>
          <w:sz w:val="20"/>
          <w:szCs w:val="20"/>
        </w:rPr>
      </w:pPr>
      <w:r>
        <w:rPr>
          <w:rFonts w:hint="eastAsia" w:ascii="宋体"/>
          <w:color w:val="auto"/>
          <w:kern w:val="0"/>
          <w:sz w:val="20"/>
          <w:szCs w:val="20"/>
        </w:rPr>
        <w:t xml:space="preserve">      2.广元市无市级设立实行政府定价或政府指导价的涉企行政审批前置服务收费项目。</w:t>
      </w:r>
    </w:p>
    <w:p>
      <w:pPr>
        <w:widowControl/>
        <w:spacing w:line="400" w:lineRule="exact"/>
        <w:jc w:val="left"/>
        <w:textAlignment w:val="center"/>
        <w:rPr>
          <w:rFonts w:hint="eastAsia" w:ascii="宋体"/>
          <w:color w:val="auto"/>
          <w:kern w:val="0"/>
          <w:sz w:val="20"/>
          <w:szCs w:val="20"/>
        </w:rPr>
      </w:pPr>
      <w:r>
        <w:rPr>
          <w:rFonts w:hint="eastAsia" w:ascii="宋体"/>
          <w:color w:val="auto"/>
          <w:kern w:val="0"/>
          <w:sz w:val="20"/>
          <w:szCs w:val="20"/>
        </w:rPr>
        <w:t xml:space="preserve">      3.生猪定点屠宰服务收费标准按现行价格政策执行，待《四川省生猪屠宰管理办法》修订后，按新规定执行。</w:t>
      </w:r>
    </w:p>
    <w:p>
      <w:pPr>
        <w:rPr>
          <w:color w:val="auto"/>
        </w:rPr>
        <w:sectPr>
          <w:footerReference r:id="rId3" w:type="default"/>
          <w:pgSz w:w="16838" w:h="11906" w:orient="landscape"/>
          <w:pgMar w:top="2098" w:right="1474" w:bottom="1984" w:left="1587" w:header="964" w:footer="1417" w:gutter="0"/>
          <w:pgNumType w:fmt="decimal"/>
          <w:cols w:space="720" w:num="1"/>
          <w:rtlGutter w:val="0"/>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 PL UKai CN">
    <w:altName w:val="宋体"/>
    <w:panose1 w:val="02000503000000000000"/>
    <w:charset w:val="86"/>
    <w:family w:val="script"/>
    <w:pitch w:val="default"/>
    <w:sig w:usb0="00000000" w:usb1="00000000" w:usb2="00000036" w:usb3="00000000" w:csb0="2016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5</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5</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51474"/>
    <w:rsid w:val="15B5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AR PL UKai C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99"/>
    <w:pPr>
      <w:ind w:left="2100"/>
    </w:pPr>
  </w:style>
  <w:style w:type="paragraph" w:styleId="3">
    <w:name w:val="footer"/>
    <w:basedOn w:val="1"/>
    <w:unhideWhenUsed/>
    <w:uiPriority w:val="99"/>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2023-12-05T01:01:00Z</dcterms:created>
  <dc:creator>区级部门:区发展改革局</dc:creator>
  <cp:lastModifiedBy>区级部门:区发展改革局</cp:lastModifiedBy>
  <dcterms:modified xsi:type="dcterms:W3CDTF">2023-12-05T01:02:10Z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C0EA60A2505440658D4BB4D956452C8B_11</vt:lpwstr>
  </property>
</Properties>
</file>