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s="Times New Roman"/>
          <w:color w:val="000000"/>
          <w:sz w:val="72"/>
          <w:szCs w:val="72"/>
        </w:rPr>
      </w:pPr>
    </w:p>
    <w:p>
      <w:pPr>
        <w:spacing w:line="600" w:lineRule="exact"/>
        <w:jc w:val="center"/>
        <w:outlineLvl w:val="0"/>
        <w:rPr>
          <w:rFonts w:ascii="方正小标宋简体" w:hAnsi="宋体" w:eastAsia="方正小标宋简体" w:cs="Times New Roman"/>
          <w:color w:val="000000"/>
          <w:sz w:val="72"/>
          <w:szCs w:val="72"/>
        </w:rPr>
      </w:pPr>
      <w:r>
        <w:rPr>
          <w:rFonts w:ascii="方正小标宋简体" w:hAnsi="宋体" w:eastAsia="方正小标宋简体" w:cs="Times New Roman"/>
          <w:color w:val="000000"/>
          <w:sz w:val="72"/>
          <w:szCs w:val="72"/>
        </w:rPr>
        <w:t xml:space="preserve"> </w:t>
      </w:r>
    </w:p>
    <w:p>
      <w:pPr>
        <w:spacing w:line="600" w:lineRule="exact"/>
        <w:jc w:val="center"/>
        <w:outlineLvl w:val="0"/>
        <w:rPr>
          <w:rFonts w:ascii="方正小标宋简体" w:hAnsi="宋体" w:eastAsia="方正小标宋简体" w:cs="Times New Roman"/>
          <w:color w:val="000000"/>
          <w:sz w:val="72"/>
          <w:szCs w:val="72"/>
        </w:rPr>
      </w:pPr>
      <w:r>
        <w:rPr>
          <w:rFonts w:ascii="方正小标宋简体" w:hAnsi="宋体" w:eastAsia="方正小标宋简体" w:cs="Times New Roman"/>
          <w:color w:val="000000"/>
          <w:sz w:val="72"/>
          <w:szCs w:val="72"/>
        </w:rPr>
        <w:t xml:space="preserve"> </w:t>
      </w:r>
    </w:p>
    <w:p>
      <w:pPr>
        <w:spacing w:line="600" w:lineRule="exact"/>
        <w:jc w:val="center"/>
        <w:outlineLvl w:val="0"/>
        <w:rPr>
          <w:rFonts w:ascii="方正小标宋简体" w:hAnsi="宋体" w:eastAsia="方正小标宋简体" w:cs="Times New Roman"/>
          <w:color w:val="000000"/>
          <w:sz w:val="72"/>
          <w:szCs w:val="72"/>
        </w:rPr>
      </w:pPr>
    </w:p>
    <w:p>
      <w:pPr>
        <w:spacing w:line="600" w:lineRule="exact"/>
        <w:jc w:val="center"/>
        <w:outlineLvl w:val="0"/>
        <w:rPr>
          <w:rFonts w:ascii="方正小标宋简体" w:hAnsi="宋体" w:eastAsia="方正小标宋简体" w:cs="Times New Roman"/>
          <w:color w:val="000000"/>
          <w:sz w:val="72"/>
          <w:szCs w:val="72"/>
        </w:rPr>
      </w:pPr>
    </w:p>
    <w:p>
      <w:pPr>
        <w:spacing w:line="600" w:lineRule="exact"/>
        <w:jc w:val="center"/>
        <w:outlineLvl w:val="0"/>
        <w:rPr>
          <w:rFonts w:ascii="方正小标宋简体" w:hAnsi="宋体" w:eastAsia="方正小标宋简体" w:cs="Times New Roman"/>
          <w:color w:val="000000"/>
          <w:sz w:val="72"/>
          <w:szCs w:val="72"/>
        </w:rPr>
      </w:pPr>
    </w:p>
    <w:p>
      <w:pPr>
        <w:spacing w:line="600" w:lineRule="exact"/>
        <w:jc w:val="center"/>
        <w:outlineLvl w:val="0"/>
        <w:rPr>
          <w:rFonts w:ascii="方正小标宋简体" w:hAnsi="宋体" w:eastAsia="方正小标宋简体" w:cs="Times New Roman"/>
          <w:color w:val="000000"/>
          <w:sz w:val="72"/>
          <w:szCs w:val="72"/>
        </w:rPr>
      </w:pPr>
      <w:r>
        <w:rPr>
          <w:rFonts w:ascii="方正小标宋简体" w:hAnsi="宋体" w:eastAsia="方正小标宋简体" w:cs="Times New Roman"/>
          <w:color w:val="000000"/>
          <w:sz w:val="72"/>
          <w:szCs w:val="72"/>
        </w:rPr>
        <w:t xml:space="preserve"> </w:t>
      </w:r>
    </w:p>
    <w:p>
      <w:pPr>
        <w:adjustRightInd w:val="0"/>
        <w:snapToGrid w:val="0"/>
        <w:spacing w:line="360" w:lineRule="auto"/>
        <w:jc w:val="center"/>
        <w:outlineLvl w:val="0"/>
        <w:rPr>
          <w:rFonts w:ascii="方正小标宋简体" w:hAnsi="方正小标宋简体" w:eastAsia="方正小标宋简体" w:cs="方正小标宋简体"/>
          <w:color w:val="000000"/>
          <w:sz w:val="72"/>
          <w:szCs w:val="72"/>
        </w:rPr>
      </w:pPr>
      <w:r>
        <w:rPr>
          <w:rFonts w:hint="eastAsia" w:ascii="方正小标宋简体" w:hAnsi="方正小标宋简体" w:eastAsia="方正小标宋简体" w:cs="方正小标宋简体"/>
          <w:color w:val="000000"/>
          <w:sz w:val="72"/>
          <w:szCs w:val="72"/>
        </w:rPr>
        <w:t>2022年度</w:t>
      </w:r>
    </w:p>
    <w:p>
      <w:pPr>
        <w:adjustRightInd w:val="0"/>
        <w:snapToGrid w:val="0"/>
        <w:ind w:firstLine="720" w:firstLineChars="100"/>
        <w:outlineLvl w:val="1"/>
        <w:rPr>
          <w:rFonts w:ascii="方正小标宋简体" w:hAnsi="方正小标宋简体" w:eastAsia="方正小标宋简体" w:cs="方正小标宋简体"/>
          <w:color w:val="000000"/>
          <w:sz w:val="72"/>
          <w:szCs w:val="72"/>
        </w:rPr>
      </w:pPr>
      <w:r>
        <w:rPr>
          <w:rFonts w:ascii="方正小标宋简体" w:hAnsi="方正小标宋简体" w:eastAsia="方正小标宋简体" w:cs="方正小标宋简体"/>
          <w:color w:val="000000"/>
          <w:sz w:val="72"/>
          <w:szCs w:val="72"/>
        </w:rPr>
        <w:t>四川省广元市</w:t>
      </w:r>
      <w:r>
        <w:rPr>
          <w:rFonts w:hint="eastAsia" w:ascii="方正小标宋简体" w:hAnsi="方正小标宋简体" w:eastAsia="方正小标宋简体" w:cs="方正小标宋简体"/>
          <w:color w:val="000000"/>
          <w:sz w:val="72"/>
          <w:szCs w:val="72"/>
        </w:rPr>
        <w:t>昭化区</w:t>
      </w:r>
    </w:p>
    <w:p>
      <w:pPr>
        <w:adjustRightInd w:val="0"/>
        <w:snapToGrid w:val="0"/>
        <w:jc w:val="center"/>
        <w:outlineLvl w:val="1"/>
        <w:rPr>
          <w:rFonts w:ascii="方正小标宋简体" w:hAnsi="宋体" w:eastAsia="方正小标宋简体" w:cs="Times New Roman"/>
          <w:color w:val="000000"/>
          <w:sz w:val="72"/>
          <w:szCs w:val="72"/>
        </w:rPr>
      </w:pPr>
      <w:r>
        <w:rPr>
          <w:rFonts w:ascii="方正小标宋简体" w:hAnsi="方正小标宋简体" w:eastAsia="方正小标宋简体" w:cs="方正小标宋简体"/>
          <w:color w:val="000000"/>
          <w:sz w:val="72"/>
          <w:szCs w:val="72"/>
        </w:rPr>
        <w:t>虎跳镇</w:t>
      </w:r>
      <w:r>
        <w:rPr>
          <w:rFonts w:hint="eastAsia" w:ascii="方正小标宋简体" w:hAnsi="方正小标宋简体" w:eastAsia="方正小标宋简体" w:cs="方正小标宋简体"/>
          <w:color w:val="000000"/>
          <w:sz w:val="72"/>
          <w:szCs w:val="72"/>
        </w:rPr>
        <w:t>人民政府</w:t>
      </w:r>
      <w:r>
        <w:rPr>
          <w:rFonts w:ascii="方正小标宋简体" w:hAnsi="方正小标宋简体" w:eastAsia="方正小标宋简体" w:cs="方正小标宋简体"/>
          <w:color w:val="000000"/>
          <w:sz w:val="72"/>
          <w:szCs w:val="72"/>
        </w:rPr>
        <w:t>部门决算</w:t>
      </w:r>
    </w:p>
    <w:p>
      <w:pPr>
        <w:rPr>
          <w:rFonts w:ascii="方正小标宋简体" w:hAnsi="宋体" w:eastAsia="方正小标宋简体" w:cs="Times New Roman"/>
          <w:color w:val="000000"/>
          <w:sz w:val="36"/>
          <w:szCs w:val="36"/>
        </w:rPr>
      </w:pPr>
      <w:r>
        <w:rPr>
          <w:rFonts w:ascii="方正小标宋简体" w:hAnsi="宋体" w:eastAsia="方正小标宋简体" w:cs="Times New Roman"/>
          <w:color w:val="000000"/>
          <w:sz w:val="36"/>
          <w:szCs w:val="36"/>
        </w:rPr>
        <w:br w:type="page"/>
      </w:r>
    </w:p>
    <w:p>
      <w:pPr>
        <w:widowControl/>
        <w:spacing w:line="500" w:lineRule="exact"/>
        <w:jc w:val="center"/>
        <w:rPr>
          <w:rFonts w:ascii="宋体" w:hAnsi="宋体" w:eastAsia="宋体" w:cs="宋体"/>
          <w:color w:val="000000"/>
          <w:sz w:val="44"/>
          <w:szCs w:val="44"/>
        </w:rPr>
      </w:pPr>
      <w:r>
        <w:rPr>
          <w:rFonts w:hint="eastAsia" w:ascii="宋体" w:hAnsi="宋体" w:eastAsia="宋体" w:cs="宋体"/>
          <w:color w:val="000000"/>
          <w:sz w:val="44"/>
          <w:szCs w:val="44"/>
        </w:rPr>
        <w:t>目录</w:t>
      </w:r>
    </w:p>
    <w:p>
      <w:pPr>
        <w:pStyle w:val="29"/>
        <w:tabs>
          <w:tab w:val="right" w:leader="dot" w:pos="8306"/>
        </w:tabs>
        <w:jc w:val="center"/>
        <w:rPr>
          <w:rFonts w:ascii="宋体" w:hAnsi="宋体" w:cs="宋体"/>
          <w:kern w:val="2"/>
          <w:sz w:val="28"/>
          <w:szCs w:val="28"/>
        </w:rPr>
      </w:pPr>
      <w:r>
        <w:rPr>
          <w:rFonts w:hint="eastAsia" w:ascii="宋体" w:hAnsi="宋体" w:cs="宋体"/>
          <w:kern w:val="2"/>
          <w:sz w:val="28"/>
          <w:szCs w:val="28"/>
        </w:rPr>
        <w:t xml:space="preserve"> </w:t>
      </w:r>
      <w:r>
        <w:rPr>
          <w:rFonts w:hint="eastAsia"/>
          <w:b/>
          <w:bCs/>
          <w:sz w:val="32"/>
          <w:szCs w:val="32"/>
        </w:rPr>
        <w:t>公开时间：2023年9月27日</w:t>
      </w:r>
    </w:p>
    <w:p>
      <w:pPr>
        <w:pStyle w:val="13"/>
        <w:tabs>
          <w:tab w:val="right" w:leader="dot" w:pos="8306"/>
        </w:tabs>
        <w:spacing w:line="0" w:lineRule="atLeast"/>
        <w:rPr>
          <w:rFonts w:hint="default" w:ascii="黑体" w:hAnsi="黑体" w:eastAsia="黑体" w:cs="黑体"/>
          <w:sz w:val="21"/>
          <w:szCs w:val="21"/>
        </w:rPr>
      </w:pPr>
      <w:r>
        <w:rPr>
          <w:rFonts w:ascii="黑体" w:hAnsi="黑体" w:eastAsia="黑体" w:cs="黑体"/>
          <w:sz w:val="21"/>
          <w:szCs w:val="21"/>
        </w:rPr>
        <w:fldChar w:fldCharType="begin"/>
      </w:r>
      <w:r>
        <w:rPr>
          <w:rFonts w:ascii="黑体" w:hAnsi="黑体" w:eastAsia="黑体" w:cs="黑体"/>
          <w:sz w:val="21"/>
          <w:szCs w:val="21"/>
        </w:rPr>
        <w:instrText xml:space="preserve">TOC \o "1-2" \h \u </w:instrText>
      </w:r>
      <w:r>
        <w:rPr>
          <w:rFonts w:ascii="黑体" w:hAnsi="黑体" w:eastAsia="黑体" w:cs="黑体"/>
          <w:sz w:val="21"/>
          <w:szCs w:val="21"/>
        </w:rPr>
        <w:fldChar w:fldCharType="separate"/>
      </w:r>
      <w:r>
        <w:fldChar w:fldCharType="begin"/>
      </w:r>
      <w:r>
        <w:instrText xml:space="preserve"> HYPERLINK \l "_Toc2006" </w:instrText>
      </w:r>
      <w:r>
        <w:fldChar w:fldCharType="separate"/>
      </w:r>
      <w:r>
        <w:rPr>
          <w:rFonts w:ascii="黑体" w:hAnsi="黑体" w:eastAsia="黑体" w:cs="黑体"/>
          <w:sz w:val="21"/>
          <w:szCs w:val="21"/>
        </w:rPr>
        <w:t>2022年度</w:t>
      </w:r>
      <w:r>
        <w:rPr>
          <w:rFonts w:ascii="黑体" w:hAnsi="黑体" w:eastAsia="黑体" w:cs="黑体"/>
          <w:sz w:val="21"/>
          <w:szCs w:val="21"/>
        </w:rPr>
        <w:tab/>
      </w:r>
      <w:r>
        <w:rPr>
          <w:rFonts w:ascii="黑体" w:hAnsi="黑体" w:eastAsia="黑体" w:cs="黑体"/>
          <w:sz w:val="21"/>
          <w:szCs w:val="21"/>
        </w:rPr>
        <w:fldChar w:fldCharType="begin"/>
      </w:r>
      <w:r>
        <w:rPr>
          <w:rFonts w:ascii="黑体" w:hAnsi="黑体" w:eastAsia="黑体" w:cs="黑体"/>
          <w:sz w:val="21"/>
          <w:szCs w:val="21"/>
        </w:rPr>
        <w:instrText xml:space="preserve"> PAGEREF _Toc2006 </w:instrText>
      </w:r>
      <w:r>
        <w:rPr>
          <w:rFonts w:ascii="黑体" w:hAnsi="黑体" w:eastAsia="黑体" w:cs="黑体"/>
          <w:sz w:val="21"/>
          <w:szCs w:val="21"/>
        </w:rPr>
        <w:fldChar w:fldCharType="separate"/>
      </w:r>
      <w:r>
        <w:rPr>
          <w:rFonts w:ascii="黑体" w:hAnsi="黑体" w:eastAsia="黑体" w:cs="黑体"/>
          <w:sz w:val="21"/>
          <w:szCs w:val="21"/>
        </w:rPr>
        <w:t>1</w:t>
      </w:r>
      <w:r>
        <w:rPr>
          <w:rFonts w:ascii="黑体" w:hAnsi="黑体" w:eastAsia="黑体" w:cs="黑体"/>
          <w:sz w:val="21"/>
          <w:szCs w:val="21"/>
        </w:rPr>
        <w:fldChar w:fldCharType="end"/>
      </w:r>
      <w:r>
        <w:rPr>
          <w:rFonts w:ascii="黑体" w:hAnsi="黑体" w:eastAsia="黑体" w:cs="黑体"/>
          <w:sz w:val="21"/>
          <w:szCs w:val="21"/>
        </w:rPr>
        <w:fldChar w:fldCharType="end"/>
      </w:r>
    </w:p>
    <w:p>
      <w:pPr>
        <w:pStyle w:val="13"/>
        <w:tabs>
          <w:tab w:val="right" w:leader="dot" w:pos="8306"/>
        </w:tabs>
        <w:spacing w:line="0" w:lineRule="atLeast"/>
        <w:rPr>
          <w:rFonts w:hint="default" w:ascii="黑体" w:hAnsi="黑体" w:eastAsia="黑体" w:cs="黑体"/>
          <w:sz w:val="21"/>
          <w:szCs w:val="21"/>
        </w:rPr>
      </w:pPr>
      <w:r>
        <w:fldChar w:fldCharType="begin"/>
      </w:r>
      <w:r>
        <w:instrText xml:space="preserve"> HYPERLINK \l "_Toc12171" </w:instrText>
      </w:r>
      <w:r>
        <w:fldChar w:fldCharType="separate"/>
      </w:r>
      <w:r>
        <w:rPr>
          <w:rFonts w:ascii="黑体" w:hAnsi="黑体" w:eastAsia="黑体" w:cs="黑体"/>
          <w:b/>
          <w:bCs/>
          <w:sz w:val="21"/>
          <w:szCs w:val="21"/>
        </w:rPr>
        <w:t>第一部分 部门概况</w:t>
      </w:r>
      <w:r>
        <w:rPr>
          <w:rFonts w:ascii="黑体" w:hAnsi="黑体" w:eastAsia="黑体" w:cs="黑体"/>
          <w:sz w:val="21"/>
          <w:szCs w:val="21"/>
        </w:rPr>
        <w:tab/>
      </w:r>
      <w:r>
        <w:rPr>
          <w:rFonts w:ascii="黑体" w:hAnsi="黑体" w:eastAsia="黑体" w:cs="黑体"/>
          <w:sz w:val="21"/>
          <w:szCs w:val="21"/>
        </w:rPr>
        <w:fldChar w:fldCharType="end"/>
      </w:r>
      <w:r>
        <w:rPr>
          <w:rFonts w:ascii="黑体" w:hAnsi="黑体" w:eastAsia="黑体" w:cs="黑体"/>
          <w:sz w:val="21"/>
          <w:szCs w:val="21"/>
        </w:rPr>
        <w:t>3</w:t>
      </w:r>
    </w:p>
    <w:p>
      <w:pPr>
        <w:pStyle w:val="15"/>
        <w:tabs>
          <w:tab w:val="right" w:leader="dot" w:pos="8306"/>
        </w:tabs>
        <w:spacing w:line="0" w:lineRule="atLeast"/>
        <w:rPr>
          <w:rFonts w:ascii="黑体" w:hAnsi="黑体" w:eastAsia="黑体" w:cs="黑体"/>
        </w:rPr>
      </w:pPr>
      <w:r>
        <w:fldChar w:fldCharType="begin"/>
      </w:r>
      <w:r>
        <w:instrText xml:space="preserve"> HYPERLINK \l "_Toc13986" </w:instrText>
      </w:r>
      <w:r>
        <w:fldChar w:fldCharType="separate"/>
      </w:r>
      <w:r>
        <w:rPr>
          <w:rFonts w:hint="eastAsia" w:ascii="黑体" w:hAnsi="黑体" w:eastAsia="黑体" w:cs="黑体"/>
        </w:rPr>
        <w:t>一、部门职责</w:t>
      </w:r>
      <w:r>
        <w:rPr>
          <w:rFonts w:hint="eastAsia" w:ascii="黑体" w:hAnsi="黑体" w:eastAsia="黑体" w:cs="黑体"/>
        </w:rPr>
        <w:tab/>
      </w:r>
      <w:r>
        <w:rPr>
          <w:rFonts w:hint="eastAsia" w:ascii="黑体" w:hAnsi="黑体" w:eastAsia="黑体" w:cs="黑体"/>
        </w:rPr>
        <w:fldChar w:fldCharType="end"/>
      </w:r>
      <w:r>
        <w:rPr>
          <w:rFonts w:hint="eastAsia" w:ascii="黑体" w:hAnsi="黑体" w:eastAsia="黑体" w:cs="黑体"/>
        </w:rPr>
        <w:t>3</w:t>
      </w:r>
    </w:p>
    <w:p>
      <w:pPr>
        <w:pStyle w:val="15"/>
        <w:tabs>
          <w:tab w:val="right" w:leader="dot" w:pos="8306"/>
        </w:tabs>
        <w:spacing w:line="0" w:lineRule="atLeast"/>
        <w:rPr>
          <w:rFonts w:ascii="黑体" w:hAnsi="黑体" w:eastAsia="黑体" w:cs="黑体"/>
        </w:rPr>
      </w:pPr>
      <w:r>
        <w:fldChar w:fldCharType="begin"/>
      </w:r>
      <w:r>
        <w:instrText xml:space="preserve"> HYPERLINK \l "_Toc9063" </w:instrText>
      </w:r>
      <w:r>
        <w:fldChar w:fldCharType="separate"/>
      </w:r>
      <w:r>
        <w:rPr>
          <w:rFonts w:hint="eastAsia" w:ascii="黑体" w:hAnsi="黑体" w:eastAsia="黑体" w:cs="黑体"/>
        </w:rPr>
        <w:t>二、机构设置</w:t>
      </w:r>
      <w:r>
        <w:rPr>
          <w:rFonts w:hint="eastAsia" w:ascii="黑体" w:hAnsi="黑体" w:eastAsia="黑体" w:cs="黑体"/>
        </w:rPr>
        <w:tab/>
      </w:r>
      <w:r>
        <w:rPr>
          <w:rFonts w:hint="eastAsia" w:ascii="黑体" w:hAnsi="黑体" w:eastAsia="黑体" w:cs="黑体"/>
          <w:lang w:val="en-US" w:eastAsia="zh-CN"/>
        </w:rPr>
        <w:t>5</w:t>
      </w:r>
      <w:r>
        <w:rPr>
          <w:rFonts w:hint="eastAsia" w:ascii="黑体" w:hAnsi="黑体" w:eastAsia="黑体" w:cs="黑体"/>
        </w:rPr>
        <w:fldChar w:fldCharType="end"/>
      </w:r>
    </w:p>
    <w:p>
      <w:pPr>
        <w:pStyle w:val="13"/>
        <w:tabs>
          <w:tab w:val="right" w:leader="dot" w:pos="8306"/>
        </w:tabs>
        <w:spacing w:line="0" w:lineRule="atLeast"/>
        <w:rPr>
          <w:rFonts w:hint="default" w:ascii="黑体" w:hAnsi="黑体" w:eastAsia="黑体" w:cs="黑体"/>
          <w:sz w:val="21"/>
          <w:szCs w:val="21"/>
        </w:rPr>
      </w:pPr>
      <w:r>
        <w:fldChar w:fldCharType="begin"/>
      </w:r>
      <w:r>
        <w:instrText xml:space="preserve"> HYPERLINK \l "_Toc8428" </w:instrText>
      </w:r>
      <w:r>
        <w:fldChar w:fldCharType="separate"/>
      </w:r>
      <w:r>
        <w:rPr>
          <w:rFonts w:ascii="黑体" w:hAnsi="黑体" w:eastAsia="黑体" w:cs="黑体"/>
          <w:b/>
          <w:bCs/>
          <w:sz w:val="21"/>
          <w:szCs w:val="21"/>
        </w:rPr>
        <w:t>第二部分 2022年度部门决算情况说明</w:t>
      </w:r>
      <w:r>
        <w:rPr>
          <w:rFonts w:ascii="黑体" w:hAnsi="黑体" w:eastAsia="黑体" w:cs="黑体"/>
          <w:sz w:val="21"/>
          <w:szCs w:val="21"/>
        </w:rPr>
        <w:tab/>
      </w:r>
      <w:r>
        <w:rPr>
          <w:rFonts w:hint="eastAsia" w:ascii="黑体" w:hAnsi="黑体" w:eastAsia="黑体" w:cs="黑体"/>
          <w:sz w:val="21"/>
          <w:szCs w:val="21"/>
          <w:lang w:val="en-US" w:eastAsia="zh-CN"/>
        </w:rPr>
        <w:t>6</w:t>
      </w:r>
      <w:r>
        <w:rPr>
          <w:rFonts w:ascii="黑体" w:hAnsi="黑体" w:eastAsia="黑体" w:cs="黑体"/>
          <w:sz w:val="21"/>
          <w:szCs w:val="21"/>
        </w:rPr>
        <w:fldChar w:fldCharType="end"/>
      </w:r>
    </w:p>
    <w:p>
      <w:pPr>
        <w:pStyle w:val="15"/>
        <w:tabs>
          <w:tab w:val="right" w:leader="dot" w:pos="8306"/>
        </w:tabs>
        <w:spacing w:line="0" w:lineRule="atLeast"/>
        <w:rPr>
          <w:rFonts w:hint="eastAsia" w:ascii="黑体" w:hAnsi="黑体" w:eastAsia="黑体" w:cs="黑体"/>
          <w:lang w:eastAsia="zh-CN"/>
        </w:rPr>
      </w:pPr>
      <w:r>
        <w:fldChar w:fldCharType="begin"/>
      </w:r>
      <w:r>
        <w:instrText xml:space="preserve"> HYPERLINK \l "_Toc16147" </w:instrText>
      </w:r>
      <w:r>
        <w:fldChar w:fldCharType="separate"/>
      </w:r>
      <w:r>
        <w:rPr>
          <w:rFonts w:hint="eastAsia" w:ascii="黑体" w:hAnsi="黑体" w:eastAsia="黑体" w:cs="黑体"/>
          <w:bCs/>
        </w:rPr>
        <w:t>一、收入支出决算总体情况说明</w:t>
      </w:r>
      <w:r>
        <w:rPr>
          <w:rFonts w:hint="eastAsia" w:ascii="黑体" w:hAnsi="黑体" w:eastAsia="黑体" w:cs="黑体"/>
        </w:rPr>
        <w:tab/>
      </w:r>
      <w:r>
        <w:rPr>
          <w:rFonts w:hint="eastAsia" w:ascii="黑体" w:hAnsi="黑体" w:eastAsia="黑体" w:cs="黑体"/>
        </w:rPr>
        <w:fldChar w:fldCharType="end"/>
      </w:r>
      <w:r>
        <w:rPr>
          <w:rFonts w:hint="eastAsia" w:ascii="黑体" w:hAnsi="黑体" w:eastAsia="黑体" w:cs="黑体"/>
          <w:lang w:val="en-US" w:eastAsia="zh-CN"/>
        </w:rPr>
        <w:t>6</w:t>
      </w:r>
    </w:p>
    <w:p>
      <w:pPr>
        <w:pStyle w:val="15"/>
        <w:tabs>
          <w:tab w:val="right" w:leader="dot" w:pos="8306"/>
        </w:tabs>
        <w:spacing w:line="0" w:lineRule="atLeast"/>
        <w:rPr>
          <w:rFonts w:ascii="黑体" w:hAnsi="黑体" w:eastAsia="黑体" w:cs="黑体"/>
        </w:rPr>
      </w:pPr>
      <w:r>
        <w:fldChar w:fldCharType="begin"/>
      </w:r>
      <w:r>
        <w:instrText xml:space="preserve"> HYPERLINK \l "_Toc14824" </w:instrText>
      </w:r>
      <w:r>
        <w:fldChar w:fldCharType="separate"/>
      </w:r>
      <w:r>
        <w:rPr>
          <w:rFonts w:hint="eastAsia" w:ascii="黑体" w:hAnsi="黑体" w:eastAsia="黑体" w:cs="黑体"/>
          <w:bCs/>
        </w:rPr>
        <w:t>二、收入决算情况说明</w:t>
      </w:r>
      <w:r>
        <w:rPr>
          <w:rFonts w:hint="eastAsia" w:ascii="黑体" w:hAnsi="黑体" w:eastAsia="黑体" w:cs="黑体"/>
        </w:rPr>
        <w:tab/>
      </w:r>
      <w:r>
        <w:rPr>
          <w:rFonts w:hint="eastAsia" w:ascii="黑体" w:hAnsi="黑体" w:eastAsia="黑体" w:cs="黑体"/>
          <w:lang w:val="en-US" w:eastAsia="zh-CN"/>
        </w:rPr>
        <w:t>6</w:t>
      </w:r>
      <w:r>
        <w:rPr>
          <w:rFonts w:hint="eastAsia" w:ascii="黑体" w:hAnsi="黑体" w:eastAsia="黑体" w:cs="黑体"/>
        </w:rPr>
        <w:fldChar w:fldCharType="end"/>
      </w:r>
    </w:p>
    <w:p>
      <w:pPr>
        <w:pStyle w:val="15"/>
        <w:tabs>
          <w:tab w:val="right" w:leader="dot" w:pos="8306"/>
        </w:tabs>
        <w:spacing w:line="0" w:lineRule="atLeast"/>
        <w:rPr>
          <w:rFonts w:ascii="黑体" w:hAnsi="黑体" w:eastAsia="黑体" w:cs="黑体"/>
        </w:rPr>
      </w:pPr>
      <w:r>
        <w:fldChar w:fldCharType="begin"/>
      </w:r>
      <w:r>
        <w:instrText xml:space="preserve"> HYPERLINK \l "_Toc15676" </w:instrText>
      </w:r>
      <w:r>
        <w:fldChar w:fldCharType="separate"/>
      </w:r>
      <w:r>
        <w:rPr>
          <w:rFonts w:hint="eastAsia" w:ascii="黑体" w:hAnsi="黑体" w:eastAsia="黑体" w:cs="黑体"/>
          <w:bCs/>
        </w:rPr>
        <w:t>三、支出决算情况说明</w:t>
      </w:r>
      <w:r>
        <w:rPr>
          <w:rFonts w:hint="eastAsia" w:ascii="黑体" w:hAnsi="黑体" w:eastAsia="黑体" w:cs="黑体"/>
        </w:rPr>
        <w:tab/>
      </w:r>
      <w:r>
        <w:rPr>
          <w:rFonts w:hint="eastAsia" w:ascii="黑体" w:hAnsi="黑体" w:eastAsia="黑体" w:cs="黑体"/>
          <w:lang w:val="en-US" w:eastAsia="zh-CN"/>
        </w:rPr>
        <w:t>7</w:t>
      </w:r>
      <w:r>
        <w:rPr>
          <w:rFonts w:hint="eastAsia" w:ascii="黑体" w:hAnsi="黑体" w:eastAsia="黑体" w:cs="黑体"/>
        </w:rPr>
        <w:fldChar w:fldCharType="end"/>
      </w:r>
    </w:p>
    <w:p>
      <w:pPr>
        <w:pStyle w:val="15"/>
        <w:tabs>
          <w:tab w:val="right" w:leader="dot" w:pos="8306"/>
        </w:tabs>
        <w:spacing w:line="0" w:lineRule="atLeast"/>
        <w:rPr>
          <w:rFonts w:ascii="黑体" w:hAnsi="黑体" w:eastAsia="黑体" w:cs="黑体"/>
        </w:rPr>
      </w:pPr>
      <w:r>
        <w:fldChar w:fldCharType="begin"/>
      </w:r>
      <w:r>
        <w:instrText xml:space="preserve"> HYPERLINK \l "_Toc15539" </w:instrText>
      </w:r>
      <w:r>
        <w:fldChar w:fldCharType="separate"/>
      </w:r>
      <w:r>
        <w:rPr>
          <w:rFonts w:hint="eastAsia" w:ascii="黑体" w:hAnsi="黑体" w:eastAsia="黑体" w:cs="黑体"/>
        </w:rPr>
        <w:t>四、</w:t>
      </w:r>
      <w:r>
        <w:rPr>
          <w:rFonts w:hint="eastAsia" w:ascii="黑体" w:hAnsi="黑体" w:eastAsia="黑体" w:cs="黑体"/>
          <w:bCs/>
        </w:rPr>
        <w:t>财政拨款收入支出决算总体情况说明</w:t>
      </w:r>
      <w:r>
        <w:rPr>
          <w:rFonts w:hint="eastAsia" w:ascii="黑体" w:hAnsi="黑体" w:eastAsia="黑体" w:cs="黑体"/>
        </w:rPr>
        <w:tab/>
      </w:r>
      <w:r>
        <w:rPr>
          <w:rFonts w:hint="eastAsia" w:ascii="黑体" w:hAnsi="黑体" w:eastAsia="黑体" w:cs="黑体"/>
          <w:lang w:val="en-US" w:eastAsia="zh-CN"/>
        </w:rPr>
        <w:t>8</w:t>
      </w:r>
      <w:r>
        <w:rPr>
          <w:rFonts w:hint="eastAsia" w:ascii="黑体" w:hAnsi="黑体" w:eastAsia="黑体" w:cs="黑体"/>
        </w:rPr>
        <w:fldChar w:fldCharType="end"/>
      </w:r>
    </w:p>
    <w:p>
      <w:pPr>
        <w:pStyle w:val="15"/>
        <w:tabs>
          <w:tab w:val="right" w:leader="dot" w:pos="8306"/>
        </w:tabs>
        <w:spacing w:line="0" w:lineRule="atLeast"/>
        <w:rPr>
          <w:rFonts w:ascii="黑体" w:hAnsi="黑体" w:eastAsia="黑体" w:cs="黑体"/>
        </w:rPr>
      </w:pPr>
      <w:r>
        <w:fldChar w:fldCharType="begin"/>
      </w:r>
      <w:r>
        <w:instrText xml:space="preserve"> HYPERLINK \l "_Toc13094" </w:instrText>
      </w:r>
      <w:r>
        <w:fldChar w:fldCharType="separate"/>
      </w:r>
      <w:r>
        <w:rPr>
          <w:rFonts w:hint="eastAsia" w:ascii="黑体" w:hAnsi="黑体" w:eastAsia="黑体" w:cs="黑体"/>
        </w:rPr>
        <w:t>五、一般公共预算财政拨款支出决算情况说明</w:t>
      </w:r>
      <w:r>
        <w:rPr>
          <w:rFonts w:hint="eastAsia" w:ascii="黑体" w:hAnsi="黑体" w:eastAsia="黑体" w:cs="黑体"/>
        </w:rPr>
        <w:tab/>
      </w:r>
      <w:r>
        <w:rPr>
          <w:rFonts w:hint="eastAsia" w:ascii="黑体" w:hAnsi="黑体" w:eastAsia="黑体" w:cs="黑体"/>
          <w:lang w:val="en-US" w:eastAsia="zh-CN"/>
        </w:rPr>
        <w:t>8</w:t>
      </w:r>
      <w:r>
        <w:rPr>
          <w:rFonts w:hint="eastAsia" w:ascii="黑体" w:hAnsi="黑体" w:eastAsia="黑体" w:cs="黑体"/>
        </w:rPr>
        <w:fldChar w:fldCharType="end"/>
      </w:r>
    </w:p>
    <w:p>
      <w:pPr>
        <w:pStyle w:val="15"/>
        <w:tabs>
          <w:tab w:val="right" w:leader="dot" w:pos="8306"/>
        </w:tabs>
        <w:spacing w:line="0" w:lineRule="atLeast"/>
        <w:rPr>
          <w:rFonts w:hint="eastAsia" w:ascii="黑体" w:hAnsi="黑体" w:eastAsia="黑体" w:cs="黑体"/>
          <w:lang w:val="en-US" w:eastAsia="zh-CN"/>
        </w:rPr>
      </w:pPr>
      <w:r>
        <w:fldChar w:fldCharType="begin"/>
      </w:r>
      <w:r>
        <w:instrText xml:space="preserve"> HYPERLINK \l "_Toc32181" </w:instrText>
      </w:r>
      <w:r>
        <w:fldChar w:fldCharType="separate"/>
      </w:r>
      <w:r>
        <w:rPr>
          <w:rFonts w:hint="eastAsia" w:ascii="黑体" w:hAnsi="黑体" w:eastAsia="黑体" w:cs="黑体"/>
        </w:rPr>
        <w:t>六、</w:t>
      </w:r>
      <w:r>
        <w:rPr>
          <w:rFonts w:hint="eastAsia" w:ascii="黑体" w:hAnsi="黑体" w:eastAsia="黑体" w:cs="黑体"/>
          <w:bCs/>
        </w:rPr>
        <w:t>一般公共预算财政拨款基本支出决算情况说明</w:t>
      </w:r>
      <w:r>
        <w:rPr>
          <w:rFonts w:hint="eastAsia" w:ascii="黑体" w:hAnsi="黑体" w:eastAsia="黑体" w:cs="黑体"/>
        </w:rPr>
        <w:tab/>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lang w:val="en-US" w:eastAsia="zh-CN"/>
        </w:rPr>
        <w:t>2</w:t>
      </w:r>
    </w:p>
    <w:p>
      <w:pPr>
        <w:pStyle w:val="15"/>
        <w:tabs>
          <w:tab w:val="right" w:leader="dot" w:pos="8306"/>
        </w:tabs>
        <w:spacing w:line="0" w:lineRule="atLeast"/>
        <w:rPr>
          <w:rFonts w:hint="eastAsia" w:ascii="黑体" w:hAnsi="黑体" w:eastAsia="黑体" w:cs="黑体"/>
          <w:lang w:val="en-US" w:eastAsia="zh-CN"/>
        </w:rPr>
      </w:pPr>
      <w:r>
        <w:fldChar w:fldCharType="begin"/>
      </w:r>
      <w:r>
        <w:instrText xml:space="preserve"> HYPERLINK \l "_Toc12035" </w:instrText>
      </w:r>
      <w:r>
        <w:fldChar w:fldCharType="separate"/>
      </w:r>
      <w:r>
        <w:rPr>
          <w:rFonts w:hint="eastAsia" w:ascii="黑体" w:hAnsi="黑体" w:eastAsia="黑体" w:cs="黑体"/>
          <w:bCs/>
        </w:rPr>
        <w:t>七、财政拨款“三公”经费支出决算情况说明</w:t>
      </w:r>
      <w:r>
        <w:rPr>
          <w:rFonts w:hint="eastAsia" w:ascii="黑体" w:hAnsi="黑体" w:eastAsia="黑体" w:cs="黑体"/>
        </w:rPr>
        <w:tab/>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lang w:val="en-US" w:eastAsia="zh-CN"/>
        </w:rPr>
        <w:t>3</w:t>
      </w:r>
    </w:p>
    <w:p>
      <w:pPr>
        <w:pStyle w:val="15"/>
        <w:tabs>
          <w:tab w:val="right" w:leader="dot" w:pos="8306"/>
        </w:tabs>
        <w:spacing w:line="0" w:lineRule="atLeast"/>
        <w:rPr>
          <w:rFonts w:hint="eastAsia" w:ascii="黑体" w:hAnsi="黑体" w:eastAsia="黑体" w:cs="黑体"/>
          <w:lang w:val="en-US" w:eastAsia="zh-CN"/>
        </w:rPr>
      </w:pPr>
      <w:r>
        <w:fldChar w:fldCharType="begin"/>
      </w:r>
      <w:r>
        <w:instrText xml:space="preserve"> HYPERLINK \l "_Toc22552" </w:instrText>
      </w:r>
      <w:r>
        <w:fldChar w:fldCharType="separate"/>
      </w:r>
      <w:r>
        <w:rPr>
          <w:rFonts w:hint="eastAsia" w:ascii="黑体" w:hAnsi="黑体" w:eastAsia="黑体" w:cs="黑体"/>
          <w:bCs/>
        </w:rPr>
        <w:t>八、政府性基金预算支出决算情况说明</w:t>
      </w:r>
      <w:r>
        <w:rPr>
          <w:rFonts w:hint="eastAsia" w:ascii="黑体" w:hAnsi="黑体" w:eastAsia="黑体" w:cs="黑体"/>
        </w:rPr>
        <w:tab/>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lang w:val="en-US" w:eastAsia="zh-CN"/>
        </w:rPr>
        <w:t>5</w:t>
      </w:r>
    </w:p>
    <w:p>
      <w:pPr>
        <w:pStyle w:val="15"/>
        <w:tabs>
          <w:tab w:val="right" w:leader="dot" w:pos="8306"/>
        </w:tabs>
        <w:spacing w:line="0" w:lineRule="atLeast"/>
        <w:rPr>
          <w:rFonts w:hint="eastAsia" w:ascii="黑体" w:hAnsi="黑体" w:eastAsia="黑体" w:cs="黑体"/>
          <w:lang w:val="en-US" w:eastAsia="zh-CN"/>
        </w:rPr>
      </w:pPr>
      <w:r>
        <w:fldChar w:fldCharType="begin"/>
      </w:r>
      <w:r>
        <w:instrText xml:space="preserve"> HYPERLINK \l "_Toc5646" </w:instrText>
      </w:r>
      <w:r>
        <w:fldChar w:fldCharType="separate"/>
      </w:r>
      <w:r>
        <w:rPr>
          <w:rFonts w:hint="eastAsia" w:ascii="黑体" w:hAnsi="黑体" w:eastAsia="黑体" w:cs="黑体"/>
        </w:rPr>
        <w:t>九、国有资本经营预算支出决算情况说明</w:t>
      </w:r>
      <w:r>
        <w:rPr>
          <w:rFonts w:hint="eastAsia" w:ascii="黑体" w:hAnsi="黑体" w:eastAsia="黑体" w:cs="黑体"/>
        </w:rPr>
        <w:tab/>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lang w:val="en-US" w:eastAsia="zh-CN"/>
        </w:rPr>
        <w:t>5</w:t>
      </w:r>
    </w:p>
    <w:p>
      <w:pPr>
        <w:pStyle w:val="15"/>
        <w:tabs>
          <w:tab w:val="right" w:leader="dot" w:pos="8306"/>
        </w:tabs>
        <w:spacing w:line="0" w:lineRule="atLeast"/>
        <w:rPr>
          <w:rFonts w:hint="eastAsia" w:ascii="黑体" w:hAnsi="黑体" w:eastAsia="黑体" w:cs="黑体"/>
          <w:lang w:val="en-US" w:eastAsia="zh-CN"/>
        </w:rPr>
      </w:pPr>
      <w:r>
        <w:fldChar w:fldCharType="begin"/>
      </w:r>
      <w:r>
        <w:instrText xml:space="preserve"> HYPERLINK \l "_Toc8190" </w:instrText>
      </w:r>
      <w:r>
        <w:fldChar w:fldCharType="separate"/>
      </w:r>
      <w:r>
        <w:rPr>
          <w:rFonts w:hint="eastAsia" w:ascii="黑体" w:hAnsi="黑体" w:eastAsia="黑体" w:cs="黑体"/>
          <w:bCs/>
        </w:rPr>
        <w:t>十、其他重要事项的情况说明</w:t>
      </w:r>
      <w:r>
        <w:rPr>
          <w:rFonts w:hint="eastAsia" w:ascii="黑体" w:hAnsi="黑体" w:eastAsia="黑体" w:cs="黑体"/>
        </w:rPr>
        <w:tab/>
      </w:r>
      <w:r>
        <w:rPr>
          <w:rFonts w:hint="eastAsia" w:ascii="黑体" w:hAnsi="黑体" w:eastAsia="黑体" w:cs="黑体"/>
        </w:rPr>
        <w:t>1</w:t>
      </w:r>
      <w:r>
        <w:rPr>
          <w:rFonts w:hint="eastAsia" w:ascii="黑体" w:hAnsi="黑体" w:eastAsia="黑体" w:cs="黑体"/>
        </w:rPr>
        <w:fldChar w:fldCharType="end"/>
      </w:r>
      <w:r>
        <w:rPr>
          <w:rFonts w:hint="eastAsia" w:ascii="黑体" w:hAnsi="黑体" w:eastAsia="黑体" w:cs="黑体"/>
          <w:lang w:val="en-US" w:eastAsia="zh-CN"/>
        </w:rPr>
        <w:t>5</w:t>
      </w:r>
    </w:p>
    <w:p>
      <w:pPr>
        <w:pStyle w:val="13"/>
        <w:tabs>
          <w:tab w:val="right" w:leader="dot" w:pos="8306"/>
        </w:tabs>
        <w:spacing w:line="0" w:lineRule="atLeast"/>
        <w:rPr>
          <w:rFonts w:hint="eastAsia" w:ascii="黑体" w:hAnsi="黑体" w:eastAsia="黑体" w:cs="黑体"/>
          <w:sz w:val="21"/>
          <w:szCs w:val="21"/>
          <w:lang w:val="en-US" w:eastAsia="zh-CN"/>
        </w:rPr>
      </w:pPr>
      <w:r>
        <w:fldChar w:fldCharType="begin"/>
      </w:r>
      <w:r>
        <w:instrText xml:space="preserve"> HYPERLINK \l "_Toc10347" </w:instrText>
      </w:r>
      <w:r>
        <w:fldChar w:fldCharType="separate"/>
      </w:r>
      <w:r>
        <w:rPr>
          <w:rFonts w:ascii="黑体" w:hAnsi="黑体" w:eastAsia="黑体" w:cs="黑体"/>
          <w:b/>
          <w:sz w:val="21"/>
          <w:szCs w:val="21"/>
        </w:rPr>
        <w:t>第三部分 名词解释</w:t>
      </w:r>
      <w:r>
        <w:rPr>
          <w:rFonts w:ascii="黑体" w:hAnsi="黑体" w:eastAsia="黑体" w:cs="黑体"/>
          <w:sz w:val="21"/>
          <w:szCs w:val="21"/>
        </w:rPr>
        <w:tab/>
      </w:r>
      <w:r>
        <w:rPr>
          <w:rFonts w:ascii="黑体" w:hAnsi="黑体" w:eastAsia="黑体" w:cs="黑体"/>
          <w:sz w:val="21"/>
          <w:szCs w:val="21"/>
        </w:rPr>
        <w:t>1</w:t>
      </w:r>
      <w:r>
        <w:rPr>
          <w:rFonts w:ascii="黑体" w:hAnsi="黑体" w:eastAsia="黑体" w:cs="黑体"/>
          <w:sz w:val="21"/>
          <w:szCs w:val="21"/>
        </w:rPr>
        <w:fldChar w:fldCharType="end"/>
      </w:r>
      <w:r>
        <w:rPr>
          <w:rFonts w:hint="eastAsia" w:ascii="黑体" w:hAnsi="黑体" w:eastAsia="黑体" w:cs="黑体"/>
          <w:sz w:val="21"/>
          <w:szCs w:val="21"/>
          <w:lang w:val="en-US" w:eastAsia="zh-CN"/>
        </w:rPr>
        <w:t>7</w:t>
      </w:r>
    </w:p>
    <w:p>
      <w:pPr>
        <w:pStyle w:val="13"/>
        <w:tabs>
          <w:tab w:val="right" w:leader="dot" w:pos="8306"/>
        </w:tabs>
        <w:spacing w:line="0" w:lineRule="atLeast"/>
        <w:rPr>
          <w:rFonts w:hint="eastAsia" w:ascii="黑体" w:hAnsi="黑体" w:eastAsia="黑体" w:cs="黑体"/>
          <w:sz w:val="21"/>
          <w:szCs w:val="21"/>
          <w:lang w:val="en-US" w:eastAsia="zh-CN"/>
        </w:rPr>
      </w:pPr>
      <w:r>
        <w:fldChar w:fldCharType="begin"/>
      </w:r>
      <w:r>
        <w:instrText xml:space="preserve"> HYPERLINK \l "_Toc1880" </w:instrText>
      </w:r>
      <w:r>
        <w:fldChar w:fldCharType="separate"/>
      </w:r>
      <w:r>
        <w:rPr>
          <w:rFonts w:ascii="黑体" w:hAnsi="黑体" w:eastAsia="黑体" w:cs="黑体"/>
          <w:b/>
          <w:sz w:val="21"/>
          <w:szCs w:val="21"/>
        </w:rPr>
        <w:t>第四部分 附件</w:t>
      </w:r>
      <w:r>
        <w:rPr>
          <w:rFonts w:ascii="黑体" w:hAnsi="黑体" w:eastAsia="黑体" w:cs="黑体"/>
          <w:sz w:val="21"/>
          <w:szCs w:val="21"/>
        </w:rPr>
        <w:tab/>
      </w:r>
      <w:r>
        <w:rPr>
          <w:rFonts w:ascii="黑体" w:hAnsi="黑体" w:eastAsia="黑体" w:cs="黑体"/>
          <w:sz w:val="21"/>
          <w:szCs w:val="21"/>
        </w:rPr>
        <w:fldChar w:fldCharType="end"/>
      </w:r>
      <w:r>
        <w:rPr>
          <w:rFonts w:ascii="黑体" w:hAnsi="黑体" w:eastAsia="黑体" w:cs="黑体"/>
          <w:sz w:val="21"/>
          <w:szCs w:val="21"/>
        </w:rPr>
        <w:t>2</w:t>
      </w:r>
      <w:r>
        <w:rPr>
          <w:rFonts w:hint="eastAsia" w:ascii="黑体" w:hAnsi="黑体" w:eastAsia="黑体" w:cs="黑体"/>
          <w:sz w:val="21"/>
          <w:szCs w:val="21"/>
          <w:lang w:val="en-US" w:eastAsia="zh-CN"/>
        </w:rPr>
        <w:t>1</w:t>
      </w:r>
    </w:p>
    <w:p>
      <w:pPr>
        <w:pStyle w:val="13"/>
        <w:tabs>
          <w:tab w:val="right" w:leader="dot" w:pos="8306"/>
        </w:tabs>
        <w:spacing w:line="0" w:lineRule="atLeast"/>
        <w:rPr>
          <w:rFonts w:hint="eastAsia" w:ascii="黑体" w:hAnsi="黑体" w:eastAsia="黑体" w:cs="黑体"/>
          <w:sz w:val="21"/>
          <w:szCs w:val="21"/>
          <w:lang w:val="en-US" w:eastAsia="zh-CN"/>
        </w:rPr>
      </w:pPr>
      <w:r>
        <w:rPr>
          <w:rFonts w:ascii="黑体" w:hAnsi="黑体" w:eastAsia="黑体" w:cs="黑体"/>
          <w:sz w:val="21"/>
          <w:szCs w:val="21"/>
        </w:rPr>
        <w:t xml:space="preserve">    </w:t>
      </w:r>
      <w:r>
        <w:fldChar w:fldCharType="begin"/>
      </w:r>
      <w:r>
        <w:instrText xml:space="preserve"> HYPERLINK \l "_Toc287" </w:instrText>
      </w:r>
      <w:r>
        <w:fldChar w:fldCharType="separate"/>
      </w:r>
      <w:r>
        <w:rPr>
          <w:rFonts w:ascii="黑体" w:hAnsi="黑体" w:eastAsia="黑体" w:cs="黑体"/>
          <w:sz w:val="21"/>
          <w:szCs w:val="21"/>
        </w:rPr>
        <w:t>附件1</w:t>
      </w:r>
      <w:r>
        <w:rPr>
          <w:rFonts w:ascii="黑体" w:hAnsi="黑体" w:eastAsia="黑体" w:cs="黑体"/>
          <w:sz w:val="21"/>
          <w:szCs w:val="21"/>
        </w:rPr>
        <w:tab/>
      </w:r>
      <w:r>
        <w:rPr>
          <w:rFonts w:ascii="黑体" w:hAnsi="黑体" w:eastAsia="黑体" w:cs="黑体"/>
          <w:sz w:val="21"/>
          <w:szCs w:val="21"/>
        </w:rPr>
        <w:t>2</w:t>
      </w:r>
      <w:r>
        <w:rPr>
          <w:rFonts w:ascii="黑体" w:hAnsi="黑体" w:eastAsia="黑体" w:cs="黑体"/>
          <w:sz w:val="21"/>
          <w:szCs w:val="21"/>
        </w:rPr>
        <w:fldChar w:fldCharType="end"/>
      </w:r>
      <w:r>
        <w:rPr>
          <w:rFonts w:hint="eastAsia" w:ascii="黑体" w:hAnsi="黑体" w:eastAsia="黑体" w:cs="黑体"/>
          <w:sz w:val="21"/>
          <w:szCs w:val="21"/>
          <w:lang w:val="en-US" w:eastAsia="zh-CN"/>
        </w:rPr>
        <w:t>1</w:t>
      </w:r>
    </w:p>
    <w:p>
      <w:pPr>
        <w:pStyle w:val="13"/>
        <w:tabs>
          <w:tab w:val="right" w:leader="dot" w:pos="8306"/>
        </w:tabs>
        <w:spacing w:line="0" w:lineRule="atLeast"/>
        <w:rPr>
          <w:rFonts w:hint="default" w:ascii="黑体" w:hAnsi="黑体" w:eastAsia="黑体" w:cs="黑体"/>
          <w:sz w:val="21"/>
          <w:szCs w:val="21"/>
          <w:lang w:val="en-US" w:eastAsia="zh-CN"/>
        </w:rPr>
      </w:pPr>
      <w:r>
        <w:rPr>
          <w:rFonts w:ascii="黑体" w:hAnsi="黑体" w:eastAsia="黑体" w:cs="黑体"/>
          <w:sz w:val="21"/>
          <w:szCs w:val="21"/>
        </w:rPr>
        <w:t xml:space="preserve">    </w:t>
      </w:r>
      <w:r>
        <w:fldChar w:fldCharType="begin"/>
      </w:r>
      <w:r>
        <w:instrText xml:space="preserve"> HYPERLINK \l "_Toc4754" </w:instrText>
      </w:r>
      <w:r>
        <w:fldChar w:fldCharType="separate"/>
      </w:r>
      <w:r>
        <w:rPr>
          <w:rFonts w:ascii="黑体" w:hAnsi="黑体" w:eastAsia="黑体" w:cs="黑体"/>
          <w:sz w:val="21"/>
          <w:szCs w:val="21"/>
        </w:rPr>
        <w:t>附件2-1</w:t>
      </w:r>
      <w:r>
        <w:rPr>
          <w:rFonts w:ascii="黑体" w:hAnsi="黑体" w:eastAsia="黑体" w:cs="黑体"/>
          <w:sz w:val="21"/>
          <w:szCs w:val="21"/>
        </w:rPr>
        <w:tab/>
      </w:r>
      <w:r>
        <w:rPr>
          <w:rFonts w:ascii="黑体" w:hAnsi="黑体" w:eastAsia="黑体" w:cs="黑体"/>
          <w:sz w:val="21"/>
          <w:szCs w:val="21"/>
        </w:rPr>
        <w:fldChar w:fldCharType="end"/>
      </w:r>
      <w:r>
        <w:rPr>
          <w:rFonts w:hint="eastAsia" w:ascii="黑体" w:hAnsi="黑体" w:eastAsia="黑体" w:cs="黑体"/>
          <w:sz w:val="21"/>
          <w:szCs w:val="21"/>
          <w:lang w:val="en-US" w:eastAsia="zh-CN"/>
        </w:rPr>
        <w:t>31</w:t>
      </w:r>
    </w:p>
    <w:p>
      <w:pPr>
        <w:pStyle w:val="13"/>
        <w:tabs>
          <w:tab w:val="right" w:leader="dot" w:pos="8306"/>
        </w:tabs>
        <w:spacing w:line="0" w:lineRule="atLeast"/>
        <w:rPr>
          <w:rFonts w:hint="default" w:ascii="黑体" w:hAnsi="黑体" w:eastAsia="黑体" w:cs="黑体"/>
          <w:sz w:val="21"/>
          <w:szCs w:val="21"/>
          <w:lang w:val="en-US" w:eastAsia="zh-CN"/>
        </w:rPr>
      </w:pPr>
      <w:r>
        <w:rPr>
          <w:rFonts w:ascii="黑体" w:hAnsi="黑体" w:eastAsia="黑体" w:cs="黑体"/>
          <w:sz w:val="21"/>
          <w:szCs w:val="21"/>
        </w:rPr>
        <w:t xml:space="preserve">    </w:t>
      </w:r>
      <w:r>
        <w:fldChar w:fldCharType="begin"/>
      </w:r>
      <w:r>
        <w:instrText xml:space="preserve"> HYPERLINK \l "_Toc4754" </w:instrText>
      </w:r>
      <w:r>
        <w:fldChar w:fldCharType="separate"/>
      </w:r>
      <w:r>
        <w:rPr>
          <w:rFonts w:ascii="黑体" w:hAnsi="黑体" w:eastAsia="黑体" w:cs="黑体"/>
          <w:sz w:val="21"/>
          <w:szCs w:val="21"/>
        </w:rPr>
        <w:t>附件2-2</w:t>
      </w:r>
      <w:r>
        <w:rPr>
          <w:rFonts w:ascii="黑体" w:hAnsi="黑体" w:eastAsia="黑体" w:cs="黑体"/>
          <w:sz w:val="21"/>
          <w:szCs w:val="21"/>
        </w:rPr>
        <w:tab/>
      </w:r>
      <w:r>
        <w:rPr>
          <w:rFonts w:ascii="黑体" w:hAnsi="黑体" w:eastAsia="黑体" w:cs="黑体"/>
          <w:sz w:val="21"/>
          <w:szCs w:val="21"/>
        </w:rPr>
        <w:fldChar w:fldCharType="end"/>
      </w:r>
      <w:r>
        <w:rPr>
          <w:rFonts w:hint="eastAsia" w:ascii="黑体" w:hAnsi="黑体" w:eastAsia="黑体" w:cs="黑体"/>
          <w:sz w:val="21"/>
          <w:szCs w:val="21"/>
          <w:lang w:val="en-US" w:eastAsia="zh-CN"/>
        </w:rPr>
        <w:t>38</w:t>
      </w:r>
    </w:p>
    <w:p>
      <w:pPr>
        <w:pStyle w:val="13"/>
        <w:tabs>
          <w:tab w:val="right" w:leader="dot" w:pos="8306"/>
        </w:tabs>
        <w:spacing w:line="0" w:lineRule="atLeast"/>
        <w:rPr>
          <w:rFonts w:hint="default" w:ascii="黑体" w:hAnsi="黑体" w:eastAsia="黑体" w:cs="黑体"/>
          <w:sz w:val="21"/>
          <w:szCs w:val="21"/>
        </w:rPr>
      </w:pPr>
      <w:r>
        <w:rPr>
          <w:rFonts w:ascii="黑体" w:hAnsi="黑体" w:eastAsia="黑体" w:cs="黑体"/>
          <w:sz w:val="21"/>
          <w:szCs w:val="21"/>
        </w:rPr>
        <w:t xml:space="preserve">    </w:t>
      </w:r>
      <w:r>
        <w:fldChar w:fldCharType="begin"/>
      </w:r>
      <w:r>
        <w:instrText xml:space="preserve"> HYPERLINK \l "_Toc4754" </w:instrText>
      </w:r>
      <w:r>
        <w:fldChar w:fldCharType="separate"/>
      </w:r>
      <w:r>
        <w:rPr>
          <w:rFonts w:ascii="黑体" w:hAnsi="黑体" w:eastAsia="黑体" w:cs="黑体"/>
          <w:sz w:val="21"/>
          <w:szCs w:val="21"/>
        </w:rPr>
        <w:t>附件2-3</w:t>
      </w:r>
      <w:r>
        <w:rPr>
          <w:rFonts w:ascii="黑体" w:hAnsi="黑体" w:eastAsia="黑体" w:cs="黑体"/>
          <w:sz w:val="21"/>
          <w:szCs w:val="21"/>
        </w:rPr>
        <w:tab/>
      </w:r>
      <w:r>
        <w:rPr>
          <w:rFonts w:hint="eastAsia" w:ascii="黑体" w:hAnsi="黑体" w:eastAsia="黑体" w:cs="黑体"/>
          <w:sz w:val="21"/>
          <w:szCs w:val="21"/>
          <w:lang w:val="en-US" w:eastAsia="zh-CN"/>
        </w:rPr>
        <w:t>4</w:t>
      </w:r>
      <w:r>
        <w:rPr>
          <w:rFonts w:ascii="黑体" w:hAnsi="黑体" w:eastAsia="黑体" w:cs="黑体"/>
          <w:sz w:val="21"/>
          <w:szCs w:val="21"/>
        </w:rPr>
        <w:fldChar w:fldCharType="end"/>
      </w:r>
      <w:r>
        <w:rPr>
          <w:rFonts w:hint="eastAsia" w:ascii="黑体" w:hAnsi="黑体" w:eastAsia="黑体" w:cs="黑体"/>
          <w:sz w:val="21"/>
          <w:szCs w:val="21"/>
          <w:lang w:val="en-US" w:eastAsia="zh-CN"/>
        </w:rPr>
        <w:t>3</w:t>
      </w:r>
      <w:r>
        <w:rPr>
          <w:rFonts w:ascii="黑体" w:hAnsi="黑体" w:eastAsia="黑体" w:cs="黑体"/>
          <w:sz w:val="21"/>
          <w:szCs w:val="21"/>
        </w:rPr>
        <w:t xml:space="preserve">   </w:t>
      </w:r>
    </w:p>
    <w:p>
      <w:pPr>
        <w:pStyle w:val="13"/>
        <w:tabs>
          <w:tab w:val="right" w:leader="dot" w:pos="8306"/>
        </w:tabs>
        <w:spacing w:line="0" w:lineRule="atLeast"/>
        <w:rPr>
          <w:rFonts w:hint="eastAsia" w:ascii="黑体" w:hAnsi="黑体" w:eastAsia="黑体" w:cs="黑体"/>
          <w:sz w:val="21"/>
          <w:szCs w:val="21"/>
          <w:lang w:val="en-US" w:eastAsia="zh-CN"/>
        </w:rPr>
      </w:pPr>
      <w:r>
        <w:rPr>
          <w:rFonts w:hint="eastAsia"/>
          <w:lang w:val="en-US" w:eastAsia="zh-CN"/>
        </w:rPr>
        <w:t xml:space="preserve">   </w:t>
      </w:r>
      <w:r>
        <w:fldChar w:fldCharType="begin"/>
      </w:r>
      <w:r>
        <w:instrText xml:space="preserve"> HYPERLINK \l "_Toc4754" </w:instrText>
      </w:r>
      <w:r>
        <w:fldChar w:fldCharType="separate"/>
      </w:r>
      <w:r>
        <w:rPr>
          <w:rFonts w:ascii="黑体" w:hAnsi="黑体" w:eastAsia="黑体" w:cs="黑体"/>
          <w:sz w:val="21"/>
          <w:szCs w:val="21"/>
        </w:rPr>
        <w:t>附件2-</w:t>
      </w:r>
      <w:r>
        <w:rPr>
          <w:rFonts w:hint="eastAsia" w:ascii="黑体" w:hAnsi="黑体" w:eastAsia="黑体" w:cs="黑体"/>
          <w:sz w:val="21"/>
          <w:szCs w:val="21"/>
          <w:lang w:val="en-US" w:eastAsia="zh-CN"/>
        </w:rPr>
        <w:t>4</w:t>
      </w:r>
      <w:r>
        <w:rPr>
          <w:rFonts w:ascii="黑体" w:hAnsi="黑体" w:eastAsia="黑体" w:cs="黑体"/>
          <w:sz w:val="21"/>
          <w:szCs w:val="21"/>
        </w:rPr>
        <w:tab/>
      </w:r>
      <w:r>
        <w:rPr>
          <w:rFonts w:hint="eastAsia" w:ascii="黑体" w:hAnsi="黑体" w:eastAsia="黑体" w:cs="黑体"/>
          <w:sz w:val="21"/>
          <w:szCs w:val="21"/>
          <w:lang w:val="en-US" w:eastAsia="zh-CN"/>
        </w:rPr>
        <w:t>4</w:t>
      </w:r>
      <w:r>
        <w:rPr>
          <w:rFonts w:ascii="黑体" w:hAnsi="黑体" w:eastAsia="黑体" w:cs="黑体"/>
          <w:sz w:val="21"/>
          <w:szCs w:val="21"/>
        </w:rPr>
        <w:fldChar w:fldCharType="end"/>
      </w:r>
      <w:r>
        <w:rPr>
          <w:rFonts w:hint="eastAsia" w:ascii="黑体" w:hAnsi="黑体" w:eastAsia="黑体" w:cs="黑体"/>
          <w:sz w:val="21"/>
          <w:szCs w:val="21"/>
          <w:lang w:val="en-US" w:eastAsia="zh-CN"/>
        </w:rPr>
        <w:t>8</w:t>
      </w:r>
    </w:p>
    <w:p>
      <w:pPr>
        <w:pStyle w:val="13"/>
        <w:tabs>
          <w:tab w:val="right" w:leader="dot" w:pos="8306"/>
        </w:tabs>
        <w:spacing w:line="0" w:lineRule="atLeast"/>
        <w:rPr>
          <w:rFonts w:hint="eastAsia" w:eastAsia="黑体"/>
          <w:lang w:val="en-US" w:eastAsia="zh-CN"/>
        </w:rPr>
      </w:pPr>
      <w:r>
        <w:rPr>
          <w:rFonts w:hint="eastAsia"/>
          <w:lang w:val="en-US" w:eastAsia="zh-CN"/>
        </w:rPr>
        <w:t xml:space="preserve">   </w:t>
      </w:r>
      <w:r>
        <w:fldChar w:fldCharType="begin"/>
      </w:r>
      <w:r>
        <w:instrText xml:space="preserve"> HYPERLINK \l "_Toc4754" </w:instrText>
      </w:r>
      <w:r>
        <w:fldChar w:fldCharType="separate"/>
      </w:r>
      <w:r>
        <w:rPr>
          <w:rFonts w:ascii="黑体" w:hAnsi="黑体" w:eastAsia="黑体" w:cs="黑体"/>
          <w:sz w:val="21"/>
          <w:szCs w:val="21"/>
        </w:rPr>
        <w:t>附件2-</w:t>
      </w:r>
      <w:r>
        <w:rPr>
          <w:rFonts w:hint="eastAsia" w:ascii="黑体" w:hAnsi="黑体" w:eastAsia="黑体" w:cs="黑体"/>
          <w:sz w:val="21"/>
          <w:szCs w:val="21"/>
          <w:lang w:val="en-US" w:eastAsia="zh-CN"/>
        </w:rPr>
        <w:t>5</w:t>
      </w:r>
      <w:r>
        <w:rPr>
          <w:rFonts w:ascii="黑体" w:hAnsi="黑体" w:eastAsia="黑体" w:cs="黑体"/>
          <w:sz w:val="21"/>
          <w:szCs w:val="21"/>
        </w:rPr>
        <w:tab/>
      </w:r>
      <w:r>
        <w:rPr>
          <w:rFonts w:hint="eastAsia" w:ascii="黑体" w:hAnsi="黑体" w:eastAsia="黑体" w:cs="黑体"/>
          <w:sz w:val="21"/>
          <w:szCs w:val="21"/>
          <w:lang w:val="en-US" w:eastAsia="zh-CN"/>
        </w:rPr>
        <w:t>5</w:t>
      </w:r>
      <w:r>
        <w:rPr>
          <w:rFonts w:ascii="黑体" w:hAnsi="黑体" w:eastAsia="黑体" w:cs="黑体"/>
          <w:sz w:val="21"/>
          <w:szCs w:val="21"/>
        </w:rPr>
        <w:fldChar w:fldCharType="end"/>
      </w:r>
      <w:r>
        <w:rPr>
          <w:rFonts w:hint="eastAsia" w:ascii="黑体" w:hAnsi="黑体" w:eastAsia="黑体" w:cs="黑体"/>
          <w:sz w:val="21"/>
          <w:szCs w:val="21"/>
          <w:lang w:val="en-US" w:eastAsia="zh-CN"/>
        </w:rPr>
        <w:t>3</w:t>
      </w:r>
    </w:p>
    <w:p>
      <w:pPr>
        <w:pStyle w:val="13"/>
        <w:tabs>
          <w:tab w:val="right" w:leader="dot" w:pos="8306"/>
        </w:tabs>
        <w:spacing w:line="0" w:lineRule="atLeast"/>
        <w:rPr>
          <w:rFonts w:hint="default" w:ascii="黑体" w:hAnsi="黑体" w:eastAsia="黑体" w:cs="黑体"/>
          <w:sz w:val="21"/>
          <w:szCs w:val="21"/>
          <w:lang w:val="en-US" w:eastAsia="zh-CN"/>
        </w:rPr>
      </w:pPr>
      <w:r>
        <w:fldChar w:fldCharType="begin"/>
      </w:r>
      <w:r>
        <w:instrText xml:space="preserve"> HYPERLINK \l "_Toc23188" </w:instrText>
      </w:r>
      <w:r>
        <w:fldChar w:fldCharType="separate"/>
      </w:r>
      <w:r>
        <w:rPr>
          <w:rFonts w:ascii="黑体" w:hAnsi="黑体" w:eastAsia="黑体" w:cs="黑体"/>
          <w:b/>
          <w:bCs/>
          <w:sz w:val="21"/>
          <w:szCs w:val="21"/>
        </w:rPr>
        <w:t>第五部分 附表</w:t>
      </w:r>
      <w:r>
        <w:rPr>
          <w:rFonts w:ascii="黑体" w:hAnsi="黑体" w:eastAsia="黑体" w:cs="黑体"/>
          <w:sz w:val="21"/>
          <w:szCs w:val="21"/>
        </w:rPr>
        <w:tab/>
      </w:r>
      <w:r>
        <w:rPr>
          <w:rFonts w:ascii="黑体" w:hAnsi="黑体" w:eastAsia="黑体" w:cs="黑体"/>
          <w:sz w:val="21"/>
          <w:szCs w:val="21"/>
        </w:rPr>
        <w:fldChar w:fldCharType="end"/>
      </w:r>
      <w:r>
        <w:rPr>
          <w:rFonts w:hint="eastAsia" w:ascii="黑体" w:hAnsi="黑体" w:eastAsia="黑体" w:cs="黑体"/>
          <w:sz w:val="21"/>
          <w:szCs w:val="21"/>
          <w:lang w:val="en-US" w:eastAsia="zh-CN"/>
        </w:rPr>
        <w:t>59</w:t>
      </w:r>
    </w:p>
    <w:p>
      <w:pPr>
        <w:pStyle w:val="30"/>
        <w:tabs>
          <w:tab w:val="right" w:leader="dot" w:pos="8306"/>
        </w:tabs>
        <w:ind w:left="420"/>
        <w:rPr>
          <w:rFonts w:hint="default" w:ascii="黑体" w:hAnsi="黑体" w:eastAsia="黑体" w:cs="黑体"/>
          <w:sz w:val="21"/>
          <w:szCs w:val="21"/>
          <w:lang w:val="en-US" w:eastAsia="zh-CN"/>
        </w:rPr>
      </w:pPr>
      <w:r>
        <w:fldChar w:fldCharType="begin"/>
      </w:r>
      <w:r>
        <w:instrText xml:space="preserve"> HYPERLINK \l "_Toc29094" </w:instrText>
      </w:r>
      <w:r>
        <w:fldChar w:fldCharType="separate"/>
      </w:r>
      <w:r>
        <w:rPr>
          <w:rFonts w:hint="eastAsia" w:ascii="黑体" w:hAnsi="黑体" w:eastAsia="黑体" w:cs="黑体"/>
          <w:sz w:val="21"/>
          <w:szCs w:val="21"/>
        </w:rPr>
        <w:t>一、收入支出决算总表</w:t>
      </w:r>
      <w:r>
        <w:rPr>
          <w:rFonts w:hint="eastAsia" w:ascii="黑体" w:hAnsi="黑体" w:eastAsia="黑体" w:cs="黑体"/>
          <w:sz w:val="21"/>
          <w:szCs w:val="21"/>
        </w:rPr>
        <w:tab/>
      </w:r>
      <w:r>
        <w:rPr>
          <w:rFonts w:hint="eastAsia" w:ascii="黑体" w:hAnsi="黑体" w:eastAsia="黑体" w:cs="黑体"/>
          <w:sz w:val="21"/>
          <w:szCs w:val="21"/>
        </w:rPr>
        <w:fldChar w:fldCharType="end"/>
      </w:r>
      <w:r>
        <w:rPr>
          <w:rFonts w:hint="eastAsia" w:ascii="黑体" w:hAnsi="黑体" w:eastAsia="黑体" w:cs="黑体"/>
          <w:sz w:val="21"/>
          <w:szCs w:val="21"/>
          <w:lang w:val="en-US" w:eastAsia="zh-CN"/>
        </w:rPr>
        <w:t>59</w:t>
      </w:r>
    </w:p>
    <w:p>
      <w:pPr>
        <w:pStyle w:val="30"/>
        <w:tabs>
          <w:tab w:val="right" w:leader="dot" w:pos="8306"/>
        </w:tabs>
        <w:ind w:left="420"/>
        <w:rPr>
          <w:rFonts w:hint="default" w:ascii="黑体" w:hAnsi="黑体" w:eastAsia="黑体" w:cs="黑体"/>
          <w:sz w:val="21"/>
          <w:szCs w:val="21"/>
          <w:lang w:val="en-US" w:eastAsia="zh-CN"/>
        </w:rPr>
      </w:pPr>
      <w:r>
        <w:fldChar w:fldCharType="begin"/>
      </w:r>
      <w:r>
        <w:instrText xml:space="preserve"> HYPERLINK \l "_Toc9900" </w:instrText>
      </w:r>
      <w:r>
        <w:fldChar w:fldCharType="separate"/>
      </w:r>
      <w:r>
        <w:rPr>
          <w:rFonts w:hint="eastAsia" w:ascii="黑体" w:hAnsi="黑体" w:eastAsia="黑体" w:cs="黑体"/>
          <w:sz w:val="21"/>
          <w:szCs w:val="21"/>
        </w:rPr>
        <w:t>二、收入决算表</w:t>
      </w:r>
      <w:r>
        <w:rPr>
          <w:rFonts w:hint="eastAsia" w:ascii="黑体" w:hAnsi="黑体" w:eastAsia="黑体" w:cs="黑体"/>
          <w:sz w:val="21"/>
          <w:szCs w:val="21"/>
        </w:rPr>
        <w:tab/>
      </w:r>
      <w:r>
        <w:rPr>
          <w:rFonts w:hint="eastAsia" w:ascii="黑体" w:hAnsi="黑体" w:eastAsia="黑体" w:cs="黑体"/>
          <w:sz w:val="21"/>
          <w:szCs w:val="21"/>
        </w:rPr>
        <w:fldChar w:fldCharType="end"/>
      </w:r>
      <w:r>
        <w:rPr>
          <w:rFonts w:hint="eastAsia" w:ascii="黑体" w:hAnsi="黑体" w:eastAsia="黑体" w:cs="黑体"/>
          <w:sz w:val="21"/>
          <w:szCs w:val="21"/>
          <w:lang w:val="en-US" w:eastAsia="zh-CN"/>
        </w:rPr>
        <w:t>59</w:t>
      </w:r>
    </w:p>
    <w:p>
      <w:pPr>
        <w:pStyle w:val="30"/>
        <w:tabs>
          <w:tab w:val="right" w:leader="dot" w:pos="8306"/>
        </w:tabs>
        <w:ind w:left="420"/>
        <w:rPr>
          <w:rFonts w:hint="default" w:ascii="黑体" w:hAnsi="黑体" w:eastAsia="黑体" w:cs="黑体"/>
          <w:sz w:val="21"/>
          <w:szCs w:val="21"/>
          <w:lang w:val="en-US" w:eastAsia="zh-CN"/>
        </w:rPr>
      </w:pPr>
      <w:r>
        <w:fldChar w:fldCharType="begin"/>
      </w:r>
      <w:r>
        <w:instrText xml:space="preserve"> HYPERLINK \l "_Toc16921" </w:instrText>
      </w:r>
      <w:r>
        <w:fldChar w:fldCharType="separate"/>
      </w:r>
      <w:r>
        <w:rPr>
          <w:rFonts w:hint="eastAsia" w:ascii="黑体" w:hAnsi="黑体" w:eastAsia="黑体" w:cs="黑体"/>
          <w:sz w:val="21"/>
          <w:szCs w:val="21"/>
        </w:rPr>
        <w:t>三、支出决算表</w:t>
      </w:r>
      <w:r>
        <w:rPr>
          <w:rFonts w:hint="eastAsia" w:ascii="黑体" w:hAnsi="黑体" w:eastAsia="黑体" w:cs="黑体"/>
          <w:sz w:val="21"/>
          <w:szCs w:val="21"/>
        </w:rPr>
        <w:tab/>
      </w:r>
      <w:r>
        <w:rPr>
          <w:rFonts w:hint="eastAsia" w:ascii="黑体" w:hAnsi="黑体" w:eastAsia="黑体" w:cs="黑体"/>
          <w:sz w:val="21"/>
          <w:szCs w:val="21"/>
        </w:rPr>
        <w:fldChar w:fldCharType="end"/>
      </w:r>
      <w:r>
        <w:rPr>
          <w:rFonts w:hint="eastAsia" w:ascii="黑体" w:hAnsi="黑体" w:eastAsia="黑体" w:cs="黑体"/>
          <w:sz w:val="21"/>
          <w:szCs w:val="21"/>
          <w:lang w:val="en-US" w:eastAsia="zh-CN"/>
        </w:rPr>
        <w:t>59</w:t>
      </w:r>
    </w:p>
    <w:p>
      <w:pPr>
        <w:pStyle w:val="30"/>
        <w:tabs>
          <w:tab w:val="right" w:leader="dot" w:pos="8306"/>
        </w:tabs>
        <w:ind w:left="420"/>
        <w:rPr>
          <w:rFonts w:hint="default" w:ascii="黑体" w:hAnsi="黑体" w:eastAsia="黑体" w:cs="黑体"/>
          <w:sz w:val="21"/>
          <w:szCs w:val="21"/>
          <w:lang w:val="en-US" w:eastAsia="zh-CN"/>
        </w:rPr>
      </w:pPr>
      <w:r>
        <w:fldChar w:fldCharType="begin"/>
      </w:r>
      <w:r>
        <w:instrText xml:space="preserve"> HYPERLINK \l "_Toc17095" </w:instrText>
      </w:r>
      <w:r>
        <w:fldChar w:fldCharType="separate"/>
      </w:r>
      <w:r>
        <w:rPr>
          <w:rFonts w:hint="eastAsia" w:ascii="黑体" w:hAnsi="黑体" w:eastAsia="黑体" w:cs="黑体"/>
          <w:sz w:val="21"/>
          <w:szCs w:val="21"/>
        </w:rPr>
        <w:t>四、财政拨款收入支出决算总表</w:t>
      </w:r>
      <w:r>
        <w:rPr>
          <w:rFonts w:hint="eastAsia" w:ascii="黑体" w:hAnsi="黑体" w:eastAsia="黑体" w:cs="黑体"/>
          <w:sz w:val="21"/>
          <w:szCs w:val="21"/>
        </w:rPr>
        <w:tab/>
      </w:r>
      <w:r>
        <w:rPr>
          <w:rFonts w:hint="eastAsia" w:ascii="黑体" w:hAnsi="黑体" w:eastAsia="黑体" w:cs="黑体"/>
          <w:sz w:val="21"/>
          <w:szCs w:val="21"/>
        </w:rPr>
        <w:fldChar w:fldCharType="end"/>
      </w:r>
      <w:r>
        <w:rPr>
          <w:rFonts w:hint="eastAsia" w:ascii="黑体" w:hAnsi="黑体" w:eastAsia="黑体" w:cs="黑体"/>
          <w:sz w:val="21"/>
          <w:szCs w:val="21"/>
          <w:lang w:val="en-US" w:eastAsia="zh-CN"/>
        </w:rPr>
        <w:t>59</w:t>
      </w:r>
    </w:p>
    <w:p>
      <w:pPr>
        <w:pStyle w:val="30"/>
        <w:tabs>
          <w:tab w:val="right" w:leader="dot" w:pos="8306"/>
        </w:tabs>
        <w:ind w:left="420"/>
        <w:rPr>
          <w:rFonts w:hint="default" w:ascii="黑体" w:hAnsi="黑体" w:eastAsia="黑体" w:cs="黑体"/>
          <w:sz w:val="21"/>
          <w:szCs w:val="21"/>
          <w:lang w:val="en-US" w:eastAsia="zh-CN"/>
        </w:rPr>
      </w:pPr>
      <w:r>
        <w:fldChar w:fldCharType="begin"/>
      </w:r>
      <w:r>
        <w:instrText xml:space="preserve"> HYPERLINK \l "_Toc139" </w:instrText>
      </w:r>
      <w:r>
        <w:fldChar w:fldCharType="separate"/>
      </w:r>
      <w:r>
        <w:rPr>
          <w:rFonts w:hint="eastAsia" w:ascii="黑体" w:hAnsi="黑体" w:eastAsia="黑体" w:cs="黑体"/>
          <w:sz w:val="21"/>
          <w:szCs w:val="21"/>
        </w:rPr>
        <w:t>五、财政拨款支出决算明细表</w:t>
      </w:r>
      <w:r>
        <w:rPr>
          <w:rFonts w:hint="eastAsia" w:ascii="黑体" w:hAnsi="黑体" w:eastAsia="黑体" w:cs="黑体"/>
          <w:sz w:val="21"/>
          <w:szCs w:val="21"/>
        </w:rPr>
        <w:tab/>
      </w:r>
      <w:r>
        <w:rPr>
          <w:rFonts w:hint="eastAsia" w:ascii="黑体" w:hAnsi="黑体" w:eastAsia="黑体" w:cs="黑体"/>
          <w:sz w:val="21"/>
          <w:szCs w:val="21"/>
        </w:rPr>
        <w:fldChar w:fldCharType="end"/>
      </w:r>
      <w:r>
        <w:rPr>
          <w:rFonts w:hint="eastAsia" w:ascii="黑体" w:hAnsi="黑体" w:eastAsia="黑体" w:cs="黑体"/>
          <w:sz w:val="21"/>
          <w:szCs w:val="21"/>
          <w:lang w:val="en-US" w:eastAsia="zh-CN"/>
        </w:rPr>
        <w:t>59</w:t>
      </w:r>
    </w:p>
    <w:p>
      <w:pPr>
        <w:pStyle w:val="30"/>
        <w:tabs>
          <w:tab w:val="right" w:leader="dot" w:pos="8306"/>
        </w:tabs>
        <w:ind w:left="420"/>
        <w:rPr>
          <w:rFonts w:hint="default" w:ascii="黑体" w:hAnsi="黑体" w:eastAsia="黑体" w:cs="黑体"/>
          <w:sz w:val="21"/>
          <w:szCs w:val="21"/>
          <w:lang w:val="en-US" w:eastAsia="zh-CN"/>
        </w:rPr>
      </w:pPr>
      <w:r>
        <w:fldChar w:fldCharType="begin"/>
      </w:r>
      <w:r>
        <w:instrText xml:space="preserve"> HYPERLINK \l "_Toc7625" </w:instrText>
      </w:r>
      <w:r>
        <w:fldChar w:fldCharType="separate"/>
      </w:r>
      <w:r>
        <w:rPr>
          <w:rFonts w:hint="eastAsia" w:ascii="黑体" w:hAnsi="黑体" w:eastAsia="黑体" w:cs="黑体"/>
          <w:sz w:val="21"/>
          <w:szCs w:val="21"/>
        </w:rPr>
        <w:t>六、一般公共预算财政拨款支出决算表</w:t>
      </w:r>
      <w:r>
        <w:rPr>
          <w:rFonts w:hint="eastAsia" w:ascii="黑体" w:hAnsi="黑体" w:eastAsia="黑体" w:cs="黑体"/>
          <w:sz w:val="21"/>
          <w:szCs w:val="21"/>
        </w:rPr>
        <w:tab/>
      </w:r>
      <w:r>
        <w:rPr>
          <w:rFonts w:hint="eastAsia" w:ascii="黑体" w:hAnsi="黑体" w:eastAsia="黑体" w:cs="黑体"/>
          <w:sz w:val="21"/>
          <w:szCs w:val="21"/>
        </w:rPr>
        <w:fldChar w:fldCharType="end"/>
      </w:r>
      <w:r>
        <w:rPr>
          <w:rFonts w:hint="eastAsia" w:ascii="黑体" w:hAnsi="黑体" w:eastAsia="黑体" w:cs="黑体"/>
          <w:sz w:val="21"/>
          <w:szCs w:val="21"/>
          <w:lang w:val="en-US" w:eastAsia="zh-CN"/>
        </w:rPr>
        <w:t>59</w:t>
      </w:r>
    </w:p>
    <w:p>
      <w:pPr>
        <w:pStyle w:val="30"/>
        <w:tabs>
          <w:tab w:val="right" w:leader="dot" w:pos="8306"/>
        </w:tabs>
        <w:ind w:left="420"/>
        <w:rPr>
          <w:rFonts w:hint="default" w:ascii="黑体" w:hAnsi="黑体" w:eastAsia="黑体" w:cs="黑体"/>
          <w:sz w:val="21"/>
          <w:szCs w:val="21"/>
          <w:lang w:val="en-US" w:eastAsia="zh-CN"/>
        </w:rPr>
      </w:pPr>
      <w:r>
        <w:fldChar w:fldCharType="begin"/>
      </w:r>
      <w:r>
        <w:instrText xml:space="preserve"> HYPERLINK \l "_Toc16543" </w:instrText>
      </w:r>
      <w:r>
        <w:fldChar w:fldCharType="separate"/>
      </w:r>
      <w:r>
        <w:rPr>
          <w:rFonts w:hint="eastAsia" w:ascii="黑体" w:hAnsi="黑体" w:eastAsia="黑体" w:cs="黑体"/>
          <w:sz w:val="21"/>
          <w:szCs w:val="21"/>
        </w:rPr>
        <w:t>七、一般公共预算财政拨款支出决算明细表</w:t>
      </w:r>
      <w:r>
        <w:rPr>
          <w:rFonts w:hint="eastAsia" w:ascii="黑体" w:hAnsi="黑体" w:eastAsia="黑体" w:cs="黑体"/>
          <w:sz w:val="21"/>
          <w:szCs w:val="21"/>
        </w:rPr>
        <w:tab/>
      </w:r>
      <w:r>
        <w:rPr>
          <w:rFonts w:hint="eastAsia" w:ascii="黑体" w:hAnsi="黑体" w:eastAsia="黑体" w:cs="黑体"/>
          <w:sz w:val="21"/>
          <w:szCs w:val="21"/>
        </w:rPr>
        <w:fldChar w:fldCharType="end"/>
      </w:r>
      <w:r>
        <w:rPr>
          <w:rFonts w:hint="eastAsia" w:ascii="黑体" w:hAnsi="黑体" w:eastAsia="黑体" w:cs="黑体"/>
          <w:sz w:val="21"/>
          <w:szCs w:val="21"/>
          <w:lang w:val="en-US" w:eastAsia="zh-CN"/>
        </w:rPr>
        <w:t>59</w:t>
      </w:r>
    </w:p>
    <w:p>
      <w:pPr>
        <w:pStyle w:val="30"/>
        <w:tabs>
          <w:tab w:val="right" w:leader="dot" w:pos="8306"/>
        </w:tabs>
        <w:ind w:left="420"/>
        <w:rPr>
          <w:rFonts w:hint="default" w:ascii="黑体" w:hAnsi="黑体" w:eastAsia="黑体" w:cs="黑体"/>
          <w:sz w:val="21"/>
          <w:szCs w:val="21"/>
          <w:lang w:val="en-US" w:eastAsia="zh-CN"/>
        </w:rPr>
      </w:pPr>
      <w:r>
        <w:fldChar w:fldCharType="begin"/>
      </w:r>
      <w:r>
        <w:instrText xml:space="preserve"> HYPERLINK \l "_Toc11734" </w:instrText>
      </w:r>
      <w:r>
        <w:fldChar w:fldCharType="separate"/>
      </w:r>
      <w:r>
        <w:rPr>
          <w:rFonts w:hint="eastAsia" w:ascii="黑体" w:hAnsi="黑体" w:eastAsia="黑体" w:cs="黑体"/>
          <w:sz w:val="21"/>
          <w:szCs w:val="21"/>
        </w:rPr>
        <w:t>八、一般公共预算财政拨款基本支出决算表</w:t>
      </w:r>
      <w:r>
        <w:rPr>
          <w:rFonts w:hint="eastAsia" w:ascii="黑体" w:hAnsi="黑体" w:eastAsia="黑体" w:cs="黑体"/>
          <w:sz w:val="21"/>
          <w:szCs w:val="21"/>
        </w:rPr>
        <w:tab/>
      </w:r>
      <w:r>
        <w:rPr>
          <w:rFonts w:hint="eastAsia" w:ascii="黑体" w:hAnsi="黑体" w:eastAsia="黑体" w:cs="黑体"/>
          <w:sz w:val="21"/>
          <w:szCs w:val="21"/>
        </w:rPr>
        <w:fldChar w:fldCharType="end"/>
      </w:r>
      <w:r>
        <w:rPr>
          <w:rFonts w:hint="eastAsia" w:ascii="黑体" w:hAnsi="黑体" w:eastAsia="黑体" w:cs="黑体"/>
          <w:sz w:val="21"/>
          <w:szCs w:val="21"/>
          <w:lang w:val="en-US" w:eastAsia="zh-CN"/>
        </w:rPr>
        <w:t>59</w:t>
      </w:r>
    </w:p>
    <w:p>
      <w:pPr>
        <w:pStyle w:val="30"/>
        <w:tabs>
          <w:tab w:val="right" w:leader="dot" w:pos="8306"/>
        </w:tabs>
        <w:ind w:left="420"/>
        <w:rPr>
          <w:rFonts w:hint="default" w:ascii="黑体" w:hAnsi="黑体" w:eastAsia="黑体" w:cs="黑体"/>
          <w:sz w:val="21"/>
          <w:szCs w:val="21"/>
          <w:lang w:val="en-US" w:eastAsia="zh-CN"/>
        </w:rPr>
      </w:pPr>
      <w:r>
        <w:fldChar w:fldCharType="begin"/>
      </w:r>
      <w:r>
        <w:instrText xml:space="preserve"> HYPERLINK \l "_Toc21690" </w:instrText>
      </w:r>
      <w:r>
        <w:fldChar w:fldCharType="separate"/>
      </w:r>
      <w:r>
        <w:rPr>
          <w:rFonts w:hint="eastAsia" w:ascii="黑体" w:hAnsi="黑体" w:eastAsia="黑体" w:cs="黑体"/>
          <w:sz w:val="21"/>
          <w:szCs w:val="21"/>
        </w:rPr>
        <w:t>九、一般公共预算财政拨款项目支出决算表</w:t>
      </w:r>
      <w:r>
        <w:rPr>
          <w:rFonts w:hint="eastAsia" w:ascii="黑体" w:hAnsi="黑体" w:eastAsia="黑体" w:cs="黑体"/>
          <w:sz w:val="21"/>
          <w:szCs w:val="21"/>
        </w:rPr>
        <w:tab/>
      </w:r>
      <w:r>
        <w:rPr>
          <w:rFonts w:hint="eastAsia" w:ascii="黑体" w:hAnsi="黑体" w:eastAsia="黑体" w:cs="黑体"/>
          <w:sz w:val="21"/>
          <w:szCs w:val="21"/>
        </w:rPr>
        <w:fldChar w:fldCharType="end"/>
      </w:r>
      <w:r>
        <w:rPr>
          <w:rFonts w:hint="eastAsia" w:ascii="黑体" w:hAnsi="黑体" w:eastAsia="黑体" w:cs="黑体"/>
          <w:sz w:val="21"/>
          <w:szCs w:val="21"/>
          <w:lang w:val="en-US" w:eastAsia="zh-CN"/>
        </w:rPr>
        <w:t>59</w:t>
      </w:r>
    </w:p>
    <w:p>
      <w:pPr>
        <w:pStyle w:val="30"/>
        <w:tabs>
          <w:tab w:val="right" w:leader="dot" w:pos="8306"/>
        </w:tabs>
        <w:ind w:left="420"/>
        <w:rPr>
          <w:rFonts w:hint="default" w:ascii="黑体" w:hAnsi="黑体" w:eastAsia="黑体" w:cs="黑体"/>
          <w:sz w:val="21"/>
          <w:szCs w:val="21"/>
          <w:lang w:val="en-US" w:eastAsia="zh-CN"/>
        </w:rPr>
      </w:pPr>
      <w:r>
        <w:fldChar w:fldCharType="begin"/>
      </w:r>
      <w:r>
        <w:instrText xml:space="preserve"> HYPERLINK \l "_Toc28799" </w:instrText>
      </w:r>
      <w:r>
        <w:fldChar w:fldCharType="separate"/>
      </w:r>
      <w:r>
        <w:rPr>
          <w:rFonts w:hint="eastAsia" w:ascii="黑体" w:hAnsi="黑体" w:eastAsia="黑体" w:cs="黑体"/>
          <w:sz w:val="21"/>
          <w:szCs w:val="21"/>
        </w:rPr>
        <w:t>十、政府性基金预算财政拨款收入支出决算表</w:t>
      </w:r>
      <w:r>
        <w:rPr>
          <w:rFonts w:hint="eastAsia" w:ascii="黑体" w:hAnsi="黑体" w:eastAsia="黑体" w:cs="黑体"/>
          <w:sz w:val="21"/>
          <w:szCs w:val="21"/>
        </w:rPr>
        <w:tab/>
      </w:r>
      <w:r>
        <w:rPr>
          <w:rFonts w:hint="eastAsia" w:ascii="黑体" w:hAnsi="黑体" w:eastAsia="黑体" w:cs="黑体"/>
          <w:sz w:val="21"/>
          <w:szCs w:val="21"/>
        </w:rPr>
        <w:fldChar w:fldCharType="end"/>
      </w:r>
      <w:r>
        <w:rPr>
          <w:rFonts w:hint="eastAsia" w:ascii="黑体" w:hAnsi="黑体" w:eastAsia="黑体" w:cs="黑体"/>
          <w:sz w:val="21"/>
          <w:szCs w:val="21"/>
          <w:lang w:val="en-US" w:eastAsia="zh-CN"/>
        </w:rPr>
        <w:t>59</w:t>
      </w:r>
    </w:p>
    <w:p>
      <w:pPr>
        <w:pStyle w:val="30"/>
        <w:tabs>
          <w:tab w:val="right" w:leader="dot" w:pos="8306"/>
        </w:tabs>
        <w:ind w:left="420"/>
        <w:rPr>
          <w:rFonts w:hint="default" w:ascii="黑体" w:hAnsi="黑体" w:eastAsia="黑体" w:cs="黑体"/>
          <w:sz w:val="21"/>
          <w:szCs w:val="21"/>
          <w:lang w:val="en-US" w:eastAsia="zh-CN"/>
        </w:rPr>
      </w:pPr>
      <w:r>
        <w:fldChar w:fldCharType="begin"/>
      </w:r>
      <w:r>
        <w:instrText xml:space="preserve"> HYPERLINK \l "_Toc17562" </w:instrText>
      </w:r>
      <w:r>
        <w:fldChar w:fldCharType="separate"/>
      </w:r>
      <w:r>
        <w:rPr>
          <w:rFonts w:hint="eastAsia" w:ascii="黑体" w:hAnsi="黑体" w:eastAsia="黑体" w:cs="黑体"/>
          <w:sz w:val="21"/>
          <w:szCs w:val="21"/>
        </w:rPr>
        <w:t>十一、国有资本经营预算财政拨款收入支出决算表</w:t>
      </w:r>
      <w:r>
        <w:rPr>
          <w:rFonts w:hint="eastAsia" w:ascii="黑体" w:hAnsi="黑体" w:eastAsia="黑体" w:cs="黑体"/>
          <w:sz w:val="21"/>
          <w:szCs w:val="21"/>
        </w:rPr>
        <w:tab/>
      </w:r>
      <w:r>
        <w:rPr>
          <w:rFonts w:hint="eastAsia" w:ascii="黑体" w:hAnsi="黑体" w:eastAsia="黑体" w:cs="黑体"/>
          <w:sz w:val="21"/>
          <w:szCs w:val="21"/>
        </w:rPr>
        <w:fldChar w:fldCharType="end"/>
      </w:r>
      <w:r>
        <w:rPr>
          <w:rFonts w:hint="eastAsia" w:ascii="黑体" w:hAnsi="黑体" w:eastAsia="黑体" w:cs="黑体"/>
          <w:sz w:val="21"/>
          <w:szCs w:val="21"/>
          <w:lang w:val="en-US" w:eastAsia="zh-CN"/>
        </w:rPr>
        <w:t>59</w:t>
      </w:r>
    </w:p>
    <w:p>
      <w:pPr>
        <w:pStyle w:val="30"/>
        <w:tabs>
          <w:tab w:val="right" w:leader="dot" w:pos="8306"/>
        </w:tabs>
        <w:ind w:left="420"/>
        <w:rPr>
          <w:rFonts w:hint="default" w:ascii="黑体" w:hAnsi="黑体" w:eastAsia="黑体" w:cs="黑体"/>
          <w:sz w:val="21"/>
          <w:szCs w:val="21"/>
          <w:lang w:val="en-US" w:eastAsia="zh-CN"/>
        </w:rPr>
      </w:pPr>
      <w:r>
        <w:rPr>
          <w:rFonts w:hint="eastAsia" w:ascii="黑体" w:hAnsi="黑体" w:eastAsia="黑体" w:cs="黑体"/>
          <w:sz w:val="21"/>
          <w:szCs w:val="21"/>
        </w:rPr>
        <w:t>十二、国有资本经营预算财政拨款支出决算表................................</w:t>
      </w:r>
      <w:r>
        <w:rPr>
          <w:rFonts w:hint="eastAsia" w:ascii="黑体" w:hAnsi="黑体" w:eastAsia="黑体" w:cs="黑体"/>
          <w:sz w:val="21"/>
          <w:szCs w:val="21"/>
          <w:lang w:val="en-US" w:eastAsia="zh-CN"/>
        </w:rPr>
        <w:t>59</w:t>
      </w:r>
    </w:p>
    <w:p>
      <w:pPr>
        <w:pStyle w:val="30"/>
        <w:tabs>
          <w:tab w:val="right" w:leader="dot" w:pos="8306"/>
        </w:tabs>
        <w:ind w:left="420"/>
        <w:rPr>
          <w:rFonts w:hint="default" w:ascii="黑体" w:hAnsi="黑体" w:eastAsia="黑体" w:cs="黑体"/>
          <w:sz w:val="21"/>
          <w:szCs w:val="21"/>
          <w:lang w:val="en-US" w:eastAsia="zh-CN"/>
        </w:rPr>
      </w:pPr>
      <w:r>
        <w:fldChar w:fldCharType="begin"/>
      </w:r>
      <w:r>
        <w:instrText xml:space="preserve"> HYPERLINK \l "_Toc1384" </w:instrText>
      </w:r>
      <w:r>
        <w:fldChar w:fldCharType="separate"/>
      </w:r>
      <w:r>
        <w:rPr>
          <w:rFonts w:hint="eastAsia" w:ascii="黑体" w:hAnsi="黑体" w:eastAsia="黑体" w:cs="黑体"/>
          <w:sz w:val="21"/>
          <w:szCs w:val="21"/>
        </w:rPr>
        <w:t>十三、财政拨款“三公”经费支出决算表</w:t>
      </w:r>
      <w:r>
        <w:rPr>
          <w:rFonts w:hint="eastAsia" w:ascii="黑体" w:hAnsi="黑体" w:eastAsia="黑体" w:cs="黑体"/>
          <w:sz w:val="21"/>
          <w:szCs w:val="21"/>
        </w:rPr>
        <w:tab/>
      </w:r>
      <w:r>
        <w:rPr>
          <w:rFonts w:hint="eastAsia" w:ascii="黑体" w:hAnsi="黑体" w:eastAsia="黑体" w:cs="黑体"/>
          <w:sz w:val="21"/>
          <w:szCs w:val="21"/>
        </w:rPr>
        <w:fldChar w:fldCharType="end"/>
      </w:r>
      <w:r>
        <w:rPr>
          <w:rFonts w:hint="eastAsia" w:ascii="黑体" w:hAnsi="黑体" w:eastAsia="黑体" w:cs="黑体"/>
          <w:sz w:val="21"/>
          <w:szCs w:val="21"/>
          <w:lang w:val="en-US" w:eastAsia="zh-CN"/>
        </w:rPr>
        <w:t>59</w:t>
      </w:r>
    </w:p>
    <w:p>
      <w:pPr>
        <w:pStyle w:val="30"/>
        <w:tabs>
          <w:tab w:val="right" w:leader="dot" w:pos="8306"/>
        </w:tabs>
        <w:ind w:left="420"/>
        <w:rPr>
          <w:rFonts w:ascii="黑体" w:hAnsi="黑体" w:eastAsia="黑体" w:cs="黑体"/>
          <w:sz w:val="21"/>
          <w:szCs w:val="21"/>
        </w:rPr>
      </w:pPr>
    </w:p>
    <w:p>
      <w:pPr>
        <w:pStyle w:val="15"/>
        <w:tabs>
          <w:tab w:val="right" w:leader="dot" w:pos="8306"/>
        </w:tabs>
        <w:spacing w:line="0" w:lineRule="atLeast"/>
        <w:rPr>
          <w:rFonts w:ascii="黑体" w:hAnsi="黑体" w:eastAsia="黑体" w:cs="黑体"/>
        </w:rPr>
      </w:pPr>
    </w:p>
    <w:p>
      <w:pPr>
        <w:rPr>
          <w:rFonts w:ascii="黑体" w:hAnsi="黑体" w:eastAsia="黑体" w:cs="黑体"/>
          <w:bCs/>
          <w:kern w:val="44"/>
          <w:szCs w:val="21"/>
        </w:rPr>
        <w:sectPr>
          <w:footerReference r:id="rId3" w:type="default"/>
          <w:pgSz w:w="11906" w:h="16838"/>
          <w:pgMar w:top="1440" w:right="1973" w:bottom="1497" w:left="1800" w:header="851" w:footer="992" w:gutter="0"/>
          <w:cols w:space="425" w:num="1"/>
          <w:docGrid w:type="lines" w:linePitch="312" w:charSpace="0"/>
        </w:sectPr>
      </w:pPr>
      <w:r>
        <w:rPr>
          <w:rFonts w:hint="eastAsia" w:ascii="黑体" w:hAnsi="黑体" w:eastAsia="黑体" w:cs="黑体"/>
          <w:szCs w:val="21"/>
        </w:rPr>
        <w:fldChar w:fldCharType="end"/>
      </w:r>
    </w:p>
    <w:p>
      <w:pPr>
        <w:pStyle w:val="4"/>
        <w:widowControl/>
        <w:jc w:val="center"/>
        <w:rPr>
          <w:rFonts w:ascii="黑体" w:eastAsia="黑体"/>
          <w:color w:val="000000"/>
          <w:kern w:val="2"/>
          <w:sz w:val="32"/>
          <w:szCs w:val="32"/>
        </w:rPr>
      </w:pPr>
      <w:r>
        <w:rPr>
          <w:rFonts w:hint="eastAsia" w:ascii="黑体" w:hAnsi="宋体" w:eastAsia="黑体" w:cs="黑体"/>
          <w:b w:val="0"/>
        </w:rPr>
        <w:t>第一部分</w:t>
      </w:r>
      <w:r>
        <w:rPr>
          <w:rFonts w:hint="eastAsia" w:ascii="黑体" w:hAnsi="宋体" w:eastAsia="黑体"/>
          <w:b w:val="0"/>
        </w:rPr>
        <w:t xml:space="preserve"> </w:t>
      </w:r>
      <w:r>
        <w:rPr>
          <w:rStyle w:val="24"/>
          <w:rFonts w:hint="eastAsia" w:ascii="黑体" w:hAnsi="宋体" w:eastAsia="黑体" w:cs="黑体"/>
          <w:b w:val="0"/>
          <w:bCs w:val="0"/>
        </w:rPr>
        <w:t>部门概况</w:t>
      </w:r>
      <w:r>
        <w:rPr>
          <w:rFonts w:hint="eastAsia" w:ascii="黑体" w:eastAsia="黑体"/>
          <w:color w:val="000000"/>
          <w:kern w:val="2"/>
          <w:sz w:val="32"/>
          <w:szCs w:val="32"/>
        </w:rPr>
        <w:t xml:space="preserve"> </w:t>
      </w:r>
      <w:bookmarkStart w:id="46" w:name="_GoBack"/>
      <w:bookmarkEnd w:id="46"/>
    </w:p>
    <w:p>
      <w:pPr>
        <w:pStyle w:val="5"/>
        <w:widowControl/>
        <w:spacing w:before="0" w:after="0" w:line="240" w:lineRule="auto"/>
        <w:ind w:firstLine="640" w:firstLineChars="200"/>
        <w:rPr>
          <w:rFonts w:ascii="仿宋" w:hAnsi="仿宋" w:eastAsia="仿宋"/>
          <w:b w:val="0"/>
          <w:color w:val="000000"/>
        </w:rPr>
      </w:pPr>
      <w:r>
        <w:rPr>
          <w:rFonts w:hint="eastAsia" w:ascii="黑体" w:hAnsi="宋体" w:eastAsia="黑体" w:cs="黑体"/>
          <w:b w:val="0"/>
          <w:color w:val="000000"/>
        </w:rPr>
        <w:t>一、部门职责</w:t>
      </w:r>
    </w:p>
    <w:p>
      <w:pPr>
        <w:spacing w:line="576" w:lineRule="exact"/>
        <w:ind w:firstLine="320" w:firstLineChars="100"/>
        <w:rPr>
          <w:rFonts w:ascii="黑体" w:hAnsi="宋体" w:eastAsia="黑体" w:cs="黑体"/>
          <w:bCs/>
          <w:color w:val="000000"/>
          <w:sz w:val="32"/>
          <w:szCs w:val="32"/>
        </w:rPr>
      </w:pPr>
      <w:r>
        <w:rPr>
          <w:rFonts w:hint="eastAsia" w:ascii="黑体" w:hAnsi="宋体" w:eastAsia="黑体" w:cs="黑体"/>
          <w:bCs/>
          <w:color w:val="000000"/>
          <w:sz w:val="32"/>
          <w:szCs w:val="32"/>
        </w:rPr>
        <w:t>（一）主要职能</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制定并组织实施村镇建设规划，部署重点工程建设，地方道路建设及公共设施，水利设施的管理，负责土地、林木、水等自然资源和生态环境的保护，做好护林防火工作。</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按计划组织本级财政收入和地方税的征收，完成国家财政计划，不断培植税源，管好财政资金，增强财政实力。</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抓好精神文明建设，丰富群众文化生活，提倡移风易俗，反对封建迷信，破除陈规陋习，树立社会主义新风尚。</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执行本级人民代表大会的决议和上级国家行政机关的决定和命令，发布决定和命令。</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执行本行政区域内的经济和社会发展计划、预算。管理本行政区域内的经济、教育、科学、文化、卫生、体育事业和财政、民政、公安、司法行政、计划生育等行政工作。</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保护好社会主义全民所有的财产和劳动群众集体所有财产，保护公民私有的合法财产，维护社会秩序，保障公民的人身权利、民主权利和其他权利。</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保障农村集体经济组织应有的自主权。</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保障少数民族的权利和尊重少数民族的风俗习惯。</w:t>
      </w:r>
    </w:p>
    <w:p>
      <w:pPr>
        <w:spacing w:line="576"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保障宪法和法律赋予妇女的男女平等、同工同酬和婚姻自由平等各项权利。</w:t>
      </w:r>
    </w:p>
    <w:p>
      <w:pPr>
        <w:spacing w:line="576" w:lineRule="exact"/>
        <w:ind w:firstLine="640" w:firstLineChars="200"/>
      </w:pP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完成和办理上级人民政府交办的其他事项。</w:t>
      </w:r>
    </w:p>
    <w:p>
      <w:pPr>
        <w:pStyle w:val="8"/>
        <w:widowControl/>
        <w:adjustRightInd w:val="0"/>
        <w:spacing w:beforeLines="0" w:line="576"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（二）2022年重点工作完成情况。</w:t>
      </w:r>
    </w:p>
    <w:p>
      <w:pPr>
        <w:widowControl/>
        <w:spacing w:before="4" w:afterLines="20" w:line="64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聚焦脱贫成果巩固、乡村振兴衔接有效。</w:t>
      </w:r>
      <w:r>
        <w:rPr>
          <w:rFonts w:hint="eastAsia" w:ascii="仿宋_GB2312" w:hAnsi="仿宋_GB2312" w:eastAsia="仿宋_GB2312" w:cs="仿宋_GB2312"/>
          <w:sz w:val="32"/>
          <w:szCs w:val="32"/>
        </w:rPr>
        <w:t>始终把“三农”工作作为重中之重，巩固拓展脱贫攻坚成果，接续推进乡村振兴，着力打造省级乡村振兴先进镇。2022年完成全镇撤并建制村畅通工程3.7公里，通组道路8.43公里。整治5个小二型避险水库，维修山坪塘5口，人饮工程3处，新建渠系3.4公里，维修4.6公里。发展产业项目15个，争取财政补助资金586万元，巩固提升猕猴桃1600余亩、小水果2600余亩、蔬菜7200余亩。</w:t>
      </w:r>
    </w:p>
    <w:p>
      <w:pPr>
        <w:widowControl/>
        <w:spacing w:before="4" w:afterLines="20" w:line="640" w:lineRule="exact"/>
        <w:ind w:firstLine="643"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b/>
          <w:bCs/>
          <w:sz w:val="32"/>
          <w:szCs w:val="32"/>
        </w:rPr>
        <w:t>二是</w:t>
      </w:r>
      <w:r>
        <w:rPr>
          <w:rFonts w:hint="eastAsia" w:eastAsia="仿宋_GB2312"/>
          <w:kern w:val="0"/>
          <w:sz w:val="32"/>
          <w:szCs w:val="32"/>
        </w:rPr>
        <w:t>聚焦民生福祉保障，持续提升社会治理。始终把服务人民美好生活需要作为工作的出发点，努力提高为民服务质量。全年共保障城乡低保对象</w:t>
      </w:r>
      <w:r>
        <w:rPr>
          <w:rFonts w:hint="eastAsia" w:ascii="仿宋_GB2312" w:hAnsi="仿宋_GB2312" w:eastAsia="仿宋_GB2312" w:cs="仿宋_GB2312"/>
          <w:kern w:val="0"/>
          <w:sz w:val="32"/>
          <w:szCs w:val="32"/>
        </w:rPr>
        <w:t>769户1747人，民政特困供养对象75户75人，大（慢）病282人，申请残疾人护理补贴50人，兑现“绿色殡葬”40人3.2万元、计划生育奖扶642人61.632万元。</w:t>
      </w:r>
    </w:p>
    <w:p>
      <w:pPr>
        <w:ind w:firstLine="643" w:firstLineChars="200"/>
        <w:rPr>
          <w:rFonts w:ascii="仿宋_GB2312" w:hAnsi="仿宋_GB2312" w:eastAsia="仿宋_GB2312" w:cs="仿宋_GB2312"/>
          <w:sz w:val="32"/>
          <w:szCs w:val="32"/>
        </w:rPr>
      </w:pPr>
      <w:r>
        <w:rPr>
          <w:rFonts w:hint="eastAsia" w:ascii="Times New Roman" w:hAnsi="Times New Roman" w:eastAsia="仿宋_GB2312" w:cs="仿宋_GB2312"/>
          <w:b/>
          <w:bCs/>
          <w:sz w:val="32"/>
          <w:szCs w:val="32"/>
        </w:rPr>
        <w:t>三是</w:t>
      </w:r>
      <w:r>
        <w:rPr>
          <w:rFonts w:hint="eastAsia" w:ascii="Times New Roman" w:hAnsi="Times New Roman" w:eastAsia="仿宋_GB2312" w:cs="仿宋_GB2312"/>
          <w:sz w:val="32"/>
          <w:szCs w:val="32"/>
        </w:rPr>
        <w:t>聚焦统筹疫情防控，常态巩固防控成效。</w:t>
      </w:r>
      <w:r>
        <w:rPr>
          <w:rFonts w:hint="eastAsia" w:ascii="仿宋_GB2312" w:hAnsi="仿宋_GB2312" w:eastAsia="仿宋_GB2312" w:cs="仿宋_GB2312"/>
          <w:sz w:val="32"/>
          <w:szCs w:val="32"/>
        </w:rPr>
        <w:t>全镇组建12个防控工作组，15支党员志愿服务队，270名网格员，200余名镇村组干部组成四级防控网络。全年累计来返乡7636人，接受集中隔离465人，居家隔离管控1872人，居家健康监测2035人，完成3066剂次疫苗接种工作。</w:t>
      </w:r>
    </w:p>
    <w:p>
      <w:pPr>
        <w:ind w:firstLine="643" w:firstLineChars="200"/>
      </w:pP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聚焦党的建设提高，不断夯实执政基础。</w:t>
      </w:r>
      <w:r>
        <w:rPr>
          <w:rFonts w:hint="eastAsia" w:ascii="仿宋_GB2312" w:hAnsi="仿宋_GB2312" w:eastAsia="仿宋_GB2312" w:cs="仿宋_GB2312"/>
          <w:kern w:val="0"/>
          <w:sz w:val="32"/>
          <w:szCs w:val="32"/>
        </w:rPr>
        <w:t>坚决拥护“两个确立”，作到“两个维护”。举办“干部夜学”“党员干部进党校”等学习活动16期，组织全镇党员干部集中学习6次。</w:t>
      </w:r>
      <w:r>
        <w:rPr>
          <w:rFonts w:hint="eastAsia" w:ascii="仿宋_GB2312" w:hAnsi="仿宋_GB2312" w:eastAsia="仿宋_GB2312" w:cs="仿宋_GB2312"/>
          <w:kern w:val="21"/>
          <w:sz w:val="32"/>
          <w:szCs w:val="32"/>
        </w:rPr>
        <w:t>始终</w:t>
      </w:r>
      <w:r>
        <w:rPr>
          <w:rFonts w:hint="eastAsia" w:ascii="仿宋_GB2312" w:hAnsi="仿宋_GB2312" w:eastAsia="仿宋_GB2312" w:cs="仿宋_GB2312"/>
          <w:kern w:val="21"/>
          <w:sz w:val="32"/>
          <w:szCs w:val="32"/>
          <w:lang w:val="zh-CN"/>
        </w:rPr>
        <w:t>筑牢“红色防线”。</w:t>
      </w:r>
      <w:r>
        <w:rPr>
          <w:rFonts w:hint="eastAsia" w:ascii="仿宋_GB2312" w:hAnsi="仿宋_GB2312" w:eastAsia="仿宋_GB2312" w:cs="仿宋_GB2312"/>
          <w:kern w:val="0"/>
          <w:sz w:val="32"/>
          <w:szCs w:val="32"/>
        </w:rPr>
        <w:t>整合“抗洪抢险、疫情防控、森林防火”等志愿队伍16支300余人，党员全程参与全镇急难险重任务。全面加强廉政建设，驰而不息正风肃纪。加强干部八小时外的管理，签订违规插手干预工程、廉洁过节承诺书300余份，播放警示教育片5场次。</w:t>
      </w:r>
    </w:p>
    <w:p>
      <w:pPr>
        <w:pStyle w:val="8"/>
        <w:widowControl/>
        <w:adjustRightInd w:val="0"/>
        <w:spacing w:beforeLines="0" w:line="576" w:lineRule="exact"/>
        <w:ind w:firstLine="640" w:firstLineChars="200"/>
        <w:rPr>
          <w:rFonts w:hAnsi="仿宋_GB2312" w:cs="仿宋_GB2312"/>
          <w:color w:val="000000"/>
          <w:sz w:val="32"/>
          <w:szCs w:val="32"/>
        </w:rPr>
      </w:pPr>
      <w:r>
        <w:rPr>
          <w:rFonts w:hint="eastAsia" w:ascii="黑体" w:hAnsi="黑体" w:eastAsia="黑体" w:cs="黑体"/>
          <w:color w:val="000000"/>
          <w:sz w:val="32"/>
          <w:szCs w:val="32"/>
        </w:rPr>
        <w:t xml:space="preserve"> 二、机构设置</w:t>
      </w:r>
      <w:r>
        <w:rPr>
          <w:rFonts w:hint="eastAsia" w:hAnsi="仿宋_GB2312" w:cs="仿宋_GB2312"/>
          <w:color w:val="000000"/>
          <w:sz w:val="32"/>
          <w:szCs w:val="32"/>
        </w:rPr>
        <w:t>。</w:t>
      </w:r>
      <w:r>
        <w:rPr>
          <w:rFonts w:hint="eastAsia" w:hAnsi="仿宋_GB2312" w:cs="仿宋_GB2312"/>
          <w:color w:val="333333"/>
          <w:kern w:val="2"/>
          <w:sz w:val="32"/>
          <w:szCs w:val="32"/>
          <w:shd w:val="clear" w:color="auto" w:fill="FFFFFF"/>
        </w:rPr>
        <w:t>广元市昭化区虎跳镇属于一级预算单位，政府单位机构数1个，其中行政单位1个，参照公务员法管理的事业单位0个，其他事业单位0个。</w:t>
      </w:r>
    </w:p>
    <w:p>
      <w:pPr>
        <w:widowControl/>
        <w:spacing w:line="576"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br w:type="page"/>
      </w:r>
      <w:r>
        <w:rPr>
          <w:rFonts w:hint="eastAsia" w:ascii="黑体" w:hAnsi="宋体" w:eastAsia="黑体" w:cs="黑体"/>
          <w:bCs/>
          <w:color w:val="000000"/>
          <w:kern w:val="44"/>
          <w:sz w:val="44"/>
          <w:szCs w:val="44"/>
        </w:rPr>
        <w:t>第二部分</w:t>
      </w:r>
      <w:r>
        <w:rPr>
          <w:rFonts w:hint="eastAsia" w:ascii="黑体" w:hAnsi="宋体" w:eastAsia="黑体" w:cs="Times New Roman"/>
          <w:b/>
          <w:bCs/>
          <w:color w:val="000000"/>
          <w:kern w:val="44"/>
          <w:sz w:val="44"/>
          <w:szCs w:val="44"/>
        </w:rPr>
        <w:t xml:space="preserve"> </w:t>
      </w:r>
      <w:r>
        <w:rPr>
          <w:rStyle w:val="24"/>
          <w:rFonts w:hint="eastAsia" w:ascii="黑体" w:hAnsi="宋体" w:eastAsia="黑体" w:cs="黑体"/>
          <w:b w:val="0"/>
          <w:bCs w:val="0"/>
        </w:rPr>
        <w:t>2022年度部门决算情况说明</w:t>
      </w:r>
    </w:p>
    <w:p>
      <w:pPr>
        <w:pStyle w:val="21"/>
        <w:widowControl/>
        <w:numPr>
          <w:ilvl w:val="0"/>
          <w:numId w:val="1"/>
        </w:numPr>
        <w:spacing w:line="600" w:lineRule="exact"/>
        <w:ind w:firstLineChars="0"/>
        <w:outlineLvl w:val="1"/>
        <w:rPr>
          <w:rFonts w:ascii="黑体" w:hAnsi="宋体" w:eastAsia="黑体"/>
          <w:bCs/>
          <w:sz w:val="32"/>
          <w:szCs w:val="32"/>
        </w:rPr>
      </w:pPr>
      <w:r>
        <w:rPr>
          <w:rFonts w:hint="eastAsia" w:ascii="黑体" w:hAnsi="宋体" w:eastAsia="黑体" w:cs="黑体"/>
          <w:color w:val="000000"/>
          <w:sz w:val="32"/>
          <w:szCs w:val="32"/>
        </w:rPr>
        <w:t>收</w:t>
      </w:r>
      <w:r>
        <w:rPr>
          <w:rStyle w:val="22"/>
          <w:rFonts w:hint="eastAsia" w:ascii="黑体" w:hAnsi="宋体" w:eastAsia="黑体" w:cs="黑体"/>
          <w:b w:val="0"/>
        </w:rPr>
        <w:t>入支出决算总体情况说明</w:t>
      </w:r>
    </w:p>
    <w:p>
      <w:pPr>
        <w:spacing w:line="600" w:lineRule="exact"/>
        <w:ind w:firstLine="640" w:firstLineChars="200"/>
      </w:pPr>
      <w:r>
        <w:rPr>
          <w:rFonts w:hint="eastAsia" w:ascii="仿宋" w:hAnsi="仿宋" w:eastAsia="仿宋" w:cs="仿宋"/>
          <w:color w:val="000000"/>
          <w:sz w:val="32"/>
          <w:szCs w:val="32"/>
        </w:rPr>
        <w:t>2022年度收、支总计1741.14万元，与2021年1531.58万元相比，收、支总计各增加209.56万元，增加13.68</w:t>
      </w:r>
      <w:r>
        <w:rPr>
          <w:rFonts w:hint="eastAsia" w:ascii="仿宋" w:hAnsi="仿宋" w:eastAsia="仿宋" w:cs="Times New Roman"/>
          <w:color w:val="000000"/>
          <w:sz w:val="32"/>
          <w:szCs w:val="32"/>
        </w:rPr>
        <w:t>%</w:t>
      </w:r>
      <w:r>
        <w:rPr>
          <w:rFonts w:hint="eastAsia" w:ascii="仿宋" w:hAnsi="仿宋" w:eastAsia="仿宋" w:cs="仿宋"/>
          <w:color w:val="000000"/>
          <w:sz w:val="32"/>
          <w:szCs w:val="32"/>
        </w:rPr>
        <w:t>。主要是一般公共服务支出增加124.43万元。</w:t>
      </w:r>
    </w:p>
    <w:p>
      <w:pPr>
        <w:pStyle w:val="8"/>
        <w:spacing w:before="93"/>
      </w:pPr>
      <w:r>
        <w:drawing>
          <wp:inline distT="0" distB="0" distL="114300" distR="114300">
            <wp:extent cx="5111750" cy="3998595"/>
            <wp:effectExtent l="4445" t="4445" r="8255" b="16510"/>
            <wp:docPr id="26"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（图1：收、支决算总计变动情况）（柱状图）</w:t>
      </w:r>
    </w:p>
    <w:p>
      <w:pPr>
        <w:pStyle w:val="21"/>
        <w:widowControl/>
        <w:numPr>
          <w:ilvl w:val="0"/>
          <w:numId w:val="1"/>
        </w:numPr>
        <w:spacing w:line="600" w:lineRule="exact"/>
        <w:ind w:firstLineChars="0"/>
        <w:outlineLvl w:val="1"/>
        <w:rPr>
          <w:rFonts w:ascii="黑体" w:hAnsi="宋体" w:eastAsia="黑体"/>
          <w:bCs/>
          <w:sz w:val="32"/>
          <w:szCs w:val="32"/>
        </w:rPr>
      </w:pPr>
      <w:r>
        <w:rPr>
          <w:rFonts w:hint="eastAsia" w:ascii="黑体" w:hAnsi="宋体" w:eastAsia="黑体" w:cs="黑体"/>
          <w:color w:val="000000"/>
          <w:sz w:val="32"/>
          <w:szCs w:val="32"/>
        </w:rPr>
        <w:t>收</w:t>
      </w:r>
      <w:r>
        <w:rPr>
          <w:rStyle w:val="22"/>
          <w:rFonts w:hint="eastAsia" w:ascii="黑体" w:hAnsi="宋体" w:eastAsia="黑体" w:cs="黑体"/>
          <w:b w:val="0"/>
        </w:rPr>
        <w:t>入决算情况说明</w:t>
      </w:r>
    </w:p>
    <w:p>
      <w:pPr>
        <w:spacing w:line="600" w:lineRule="exact"/>
        <w:ind w:firstLine="640" w:firstLineChars="200"/>
        <w:outlineLvl w:val="1"/>
        <w:rPr>
          <w:rFonts w:ascii="仿宋" w:hAnsi="仿宋" w:eastAsia="仿宋" w:cs="仿宋"/>
          <w:color w:val="000000"/>
          <w:sz w:val="32"/>
          <w:szCs w:val="32"/>
        </w:rPr>
      </w:pPr>
      <w:r>
        <w:rPr>
          <w:rFonts w:hint="eastAsia" w:ascii="仿宋" w:hAnsi="仿宋" w:eastAsia="仿宋" w:cs="Times New Roman"/>
          <w:color w:val="000000"/>
          <w:sz w:val="32"/>
          <w:szCs w:val="32"/>
        </w:rPr>
        <w:t>2022</w:t>
      </w:r>
      <w:r>
        <w:rPr>
          <w:rFonts w:hint="eastAsia" w:ascii="仿宋" w:hAnsi="仿宋" w:eastAsia="仿宋" w:cs="仿宋"/>
          <w:color w:val="000000"/>
          <w:sz w:val="32"/>
          <w:szCs w:val="32"/>
        </w:rPr>
        <w:t>年本年收入合计1741.14万元，其中：一般公共预算财政拨款收入1,725.64万元，占99.11</w:t>
      </w:r>
      <w:r>
        <w:rPr>
          <w:rFonts w:hint="eastAsia" w:ascii="仿宋" w:hAnsi="仿宋" w:eastAsia="仿宋" w:cs="Times New Roman"/>
          <w:color w:val="000000"/>
          <w:sz w:val="32"/>
          <w:szCs w:val="32"/>
        </w:rPr>
        <w:t>%</w:t>
      </w:r>
      <w:r>
        <w:rPr>
          <w:rFonts w:hint="eastAsia" w:ascii="仿宋" w:hAnsi="仿宋" w:eastAsia="仿宋" w:cs="仿宋"/>
          <w:color w:val="000000"/>
          <w:sz w:val="32"/>
          <w:szCs w:val="32"/>
        </w:rPr>
        <w:t>；政府性基金预算财政拨款收入15.5万元，占0.89</w:t>
      </w:r>
      <w:r>
        <w:rPr>
          <w:rFonts w:hint="eastAsia" w:ascii="仿宋" w:hAnsi="仿宋" w:eastAsia="仿宋" w:cs="Times New Roman"/>
          <w:color w:val="000000"/>
          <w:sz w:val="32"/>
          <w:szCs w:val="32"/>
        </w:rPr>
        <w:t>%</w:t>
      </w:r>
      <w:r>
        <w:rPr>
          <w:rFonts w:hint="eastAsia" w:ascii="仿宋" w:hAnsi="仿宋" w:eastAsia="仿宋" w:cs="仿宋"/>
          <w:color w:val="000000"/>
          <w:sz w:val="32"/>
          <w:szCs w:val="32"/>
        </w:rPr>
        <w:t>；上级补助收入0万元，占0</w:t>
      </w:r>
      <w:r>
        <w:rPr>
          <w:rFonts w:hint="eastAsia" w:ascii="仿宋" w:hAnsi="仿宋" w:eastAsia="仿宋" w:cs="Times New Roman"/>
          <w:color w:val="000000"/>
          <w:sz w:val="32"/>
          <w:szCs w:val="32"/>
        </w:rPr>
        <w:t>%</w:t>
      </w:r>
      <w:r>
        <w:rPr>
          <w:rFonts w:hint="eastAsia" w:ascii="仿宋" w:hAnsi="仿宋" w:eastAsia="仿宋" w:cs="仿宋"/>
          <w:color w:val="000000"/>
          <w:sz w:val="32"/>
          <w:szCs w:val="32"/>
        </w:rPr>
        <w:t>；事业收入0万元，占0</w:t>
      </w:r>
      <w:r>
        <w:rPr>
          <w:rFonts w:hint="eastAsia" w:ascii="仿宋" w:hAnsi="仿宋" w:eastAsia="仿宋" w:cs="Times New Roman"/>
          <w:color w:val="000000"/>
          <w:sz w:val="32"/>
          <w:szCs w:val="32"/>
        </w:rPr>
        <w:t>%</w:t>
      </w:r>
      <w:r>
        <w:rPr>
          <w:rFonts w:hint="eastAsia" w:ascii="仿宋" w:hAnsi="仿宋" w:eastAsia="仿宋" w:cs="仿宋"/>
          <w:color w:val="000000"/>
          <w:sz w:val="32"/>
          <w:szCs w:val="32"/>
        </w:rPr>
        <w:t>；经营收入0万元，占0</w:t>
      </w:r>
      <w:r>
        <w:rPr>
          <w:rFonts w:hint="eastAsia" w:ascii="仿宋" w:hAnsi="仿宋" w:eastAsia="仿宋" w:cs="Times New Roman"/>
          <w:color w:val="000000"/>
          <w:sz w:val="32"/>
          <w:szCs w:val="32"/>
        </w:rPr>
        <w:t>%</w:t>
      </w:r>
      <w:r>
        <w:rPr>
          <w:rFonts w:hint="eastAsia" w:ascii="仿宋" w:hAnsi="仿宋" w:eastAsia="仿宋" w:cs="仿宋"/>
          <w:color w:val="000000"/>
          <w:sz w:val="32"/>
          <w:szCs w:val="32"/>
        </w:rPr>
        <w:t>；附属单位上缴收入0万元，占0</w:t>
      </w:r>
      <w:r>
        <w:rPr>
          <w:rFonts w:hint="eastAsia" w:ascii="仿宋" w:hAnsi="仿宋" w:eastAsia="仿宋" w:cs="Times New Roman"/>
          <w:color w:val="000000"/>
          <w:sz w:val="32"/>
          <w:szCs w:val="32"/>
        </w:rPr>
        <w:t>%</w:t>
      </w:r>
      <w:r>
        <w:rPr>
          <w:rFonts w:hint="eastAsia" w:ascii="仿宋" w:hAnsi="仿宋" w:eastAsia="仿宋" w:cs="仿宋"/>
          <w:color w:val="000000"/>
          <w:sz w:val="32"/>
          <w:szCs w:val="32"/>
        </w:rPr>
        <w:t>；其他收入0万元，占0</w:t>
      </w:r>
      <w:r>
        <w:rPr>
          <w:rFonts w:hint="eastAsia" w:ascii="仿宋" w:hAnsi="仿宋" w:eastAsia="仿宋" w:cs="Times New Roman"/>
          <w:color w:val="000000"/>
          <w:sz w:val="32"/>
          <w:szCs w:val="32"/>
        </w:rPr>
        <w:t>%</w:t>
      </w:r>
      <w:r>
        <w:rPr>
          <w:rFonts w:hint="eastAsia" w:ascii="仿宋" w:hAnsi="仿宋" w:eastAsia="仿宋" w:cs="仿宋"/>
          <w:color w:val="000000"/>
          <w:sz w:val="32"/>
          <w:szCs w:val="32"/>
        </w:rPr>
        <w:t>。</w:t>
      </w:r>
    </w:p>
    <w:p>
      <w:pPr>
        <w:pStyle w:val="8"/>
        <w:spacing w:before="93"/>
        <w:rPr>
          <w:rFonts w:ascii="仿宋" w:hAnsi="仿宋" w:eastAsia="仿宋" w:cs="仿宋"/>
          <w:color w:val="000000"/>
          <w:kern w:val="2"/>
          <w:sz w:val="32"/>
          <w:szCs w:val="32"/>
        </w:rPr>
      </w:pPr>
      <w:r>
        <w:drawing>
          <wp:inline distT="0" distB="0" distL="114300" distR="114300">
            <wp:extent cx="5149850" cy="2724150"/>
            <wp:effectExtent l="4445" t="4445" r="8255" b="14605"/>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560" w:lineRule="exact"/>
        <w:ind w:firstLine="2100" w:firstLineChars="1000"/>
        <w:rPr>
          <w:rFonts w:ascii="仿宋_GB2312" w:hAnsi="Times New Roman" w:eastAsia="仿宋_GB2312" w:cs="Times New Roman"/>
          <w:color w:val="FF0000"/>
          <w:sz w:val="32"/>
          <w:szCs w:val="32"/>
        </w:rPr>
      </w:pPr>
      <w:r>
        <w:rPr>
          <w:rFonts w:hint="eastAsia"/>
        </w:rPr>
        <w:t>（图</w:t>
      </w:r>
      <w:r>
        <w:t>2</w:t>
      </w:r>
      <w:r>
        <w:rPr>
          <w:rFonts w:hint="eastAsia"/>
        </w:rPr>
        <w:t>：收入决算结构图）（饼状图）</w:t>
      </w:r>
    </w:p>
    <w:p>
      <w:pPr>
        <w:pStyle w:val="21"/>
        <w:widowControl/>
        <w:numPr>
          <w:ilvl w:val="0"/>
          <w:numId w:val="1"/>
        </w:numPr>
        <w:spacing w:line="600" w:lineRule="exact"/>
        <w:ind w:firstLineChars="0"/>
        <w:outlineLvl w:val="1"/>
        <w:rPr>
          <w:rFonts w:ascii="黑体" w:hAnsi="宋体" w:eastAsia="黑体"/>
          <w:bCs/>
          <w:sz w:val="32"/>
          <w:szCs w:val="32"/>
        </w:rPr>
      </w:pPr>
      <w:r>
        <w:rPr>
          <w:rFonts w:hint="eastAsia" w:ascii="黑体" w:hAnsi="宋体" w:eastAsia="黑体" w:cs="黑体"/>
          <w:color w:val="000000"/>
          <w:sz w:val="32"/>
          <w:szCs w:val="32"/>
        </w:rPr>
        <w:t>支</w:t>
      </w:r>
      <w:r>
        <w:rPr>
          <w:rStyle w:val="22"/>
          <w:rFonts w:hint="eastAsia" w:ascii="黑体" w:hAnsi="宋体" w:eastAsia="黑体" w:cs="黑体"/>
          <w:b w:val="0"/>
        </w:rPr>
        <w:t>出决算情况说明</w:t>
      </w:r>
    </w:p>
    <w:p>
      <w:pPr>
        <w:spacing w:line="600" w:lineRule="exact"/>
        <w:ind w:firstLine="640" w:firstLineChars="200"/>
        <w:outlineLvl w:val="1"/>
        <w:rPr>
          <w:rFonts w:ascii="仿宋" w:hAnsi="仿宋" w:eastAsia="仿宋" w:cs="仿宋"/>
          <w:color w:val="000000"/>
          <w:sz w:val="32"/>
          <w:szCs w:val="32"/>
        </w:rPr>
      </w:pPr>
      <w:r>
        <w:rPr>
          <w:rFonts w:hint="eastAsia" w:ascii="仿宋" w:hAnsi="仿宋" w:eastAsia="仿宋" w:cs="仿宋"/>
          <w:color w:val="000000"/>
          <w:sz w:val="32"/>
          <w:szCs w:val="32"/>
        </w:rPr>
        <w:t>2022年本年支出合计1741.14万元，其中：基本支出1065.47万元，占61.19</w:t>
      </w:r>
      <w:r>
        <w:rPr>
          <w:rFonts w:hint="eastAsia" w:ascii="仿宋" w:hAnsi="仿宋" w:eastAsia="仿宋" w:cs="Times New Roman"/>
          <w:color w:val="000000"/>
          <w:sz w:val="32"/>
          <w:szCs w:val="32"/>
        </w:rPr>
        <w:t>%</w:t>
      </w:r>
      <w:r>
        <w:rPr>
          <w:rFonts w:hint="eastAsia" w:ascii="仿宋" w:hAnsi="仿宋" w:eastAsia="仿宋" w:cs="仿宋"/>
          <w:color w:val="000000"/>
          <w:sz w:val="32"/>
          <w:szCs w:val="32"/>
        </w:rPr>
        <w:t>；项目支出675.67万元，占38.81</w:t>
      </w:r>
      <w:r>
        <w:rPr>
          <w:rFonts w:hint="eastAsia" w:ascii="仿宋" w:hAnsi="仿宋" w:eastAsia="仿宋" w:cs="Times New Roman"/>
          <w:color w:val="000000"/>
          <w:sz w:val="32"/>
          <w:szCs w:val="32"/>
        </w:rPr>
        <w:t>%</w:t>
      </w:r>
      <w:r>
        <w:rPr>
          <w:rFonts w:hint="eastAsia" w:ascii="仿宋" w:hAnsi="仿宋" w:eastAsia="仿宋" w:cs="仿宋"/>
          <w:color w:val="000000"/>
          <w:sz w:val="32"/>
          <w:szCs w:val="32"/>
        </w:rPr>
        <w:t>；上缴上级支出0万元，占0</w:t>
      </w:r>
      <w:r>
        <w:rPr>
          <w:rFonts w:hint="eastAsia" w:ascii="仿宋" w:hAnsi="仿宋" w:eastAsia="仿宋" w:cs="Times New Roman"/>
          <w:color w:val="000000"/>
          <w:sz w:val="32"/>
          <w:szCs w:val="32"/>
        </w:rPr>
        <w:t>%</w:t>
      </w:r>
      <w:r>
        <w:rPr>
          <w:rFonts w:hint="eastAsia" w:ascii="仿宋" w:hAnsi="仿宋" w:eastAsia="仿宋" w:cs="仿宋"/>
          <w:color w:val="000000"/>
          <w:sz w:val="32"/>
          <w:szCs w:val="32"/>
        </w:rPr>
        <w:t>；经营支出0万元，占0</w:t>
      </w:r>
      <w:r>
        <w:rPr>
          <w:rFonts w:hint="eastAsia" w:ascii="仿宋" w:hAnsi="仿宋" w:eastAsia="仿宋" w:cs="Times New Roman"/>
          <w:color w:val="000000"/>
          <w:sz w:val="32"/>
          <w:szCs w:val="32"/>
        </w:rPr>
        <w:t>%</w:t>
      </w:r>
      <w:r>
        <w:rPr>
          <w:rFonts w:hint="eastAsia" w:ascii="仿宋" w:hAnsi="仿宋" w:eastAsia="仿宋" w:cs="仿宋"/>
          <w:color w:val="000000"/>
          <w:sz w:val="32"/>
          <w:szCs w:val="32"/>
        </w:rPr>
        <w:t>；对附属单位补助支出0万元，占0</w:t>
      </w:r>
      <w:r>
        <w:rPr>
          <w:rFonts w:hint="eastAsia" w:ascii="仿宋" w:hAnsi="仿宋" w:eastAsia="仿宋" w:cs="Times New Roman"/>
          <w:color w:val="000000"/>
          <w:sz w:val="32"/>
          <w:szCs w:val="32"/>
        </w:rPr>
        <w:t>%</w:t>
      </w:r>
      <w:r>
        <w:rPr>
          <w:rFonts w:hint="eastAsia" w:ascii="仿宋" w:hAnsi="仿宋" w:eastAsia="仿宋" w:cs="仿宋"/>
          <w:color w:val="000000"/>
          <w:sz w:val="32"/>
          <w:szCs w:val="32"/>
        </w:rPr>
        <w:t>。</w:t>
      </w:r>
    </w:p>
    <w:p>
      <w:pPr>
        <w:pStyle w:val="8"/>
        <w:spacing w:before="93"/>
        <w:rPr>
          <w:rFonts w:ascii="仿宋" w:hAnsi="仿宋" w:eastAsia="仿宋" w:cs="仿宋"/>
          <w:color w:val="000000"/>
          <w:kern w:val="2"/>
          <w:sz w:val="32"/>
          <w:szCs w:val="32"/>
        </w:rPr>
      </w:pPr>
      <w:r>
        <w:drawing>
          <wp:inline distT="0" distB="0" distL="114300" distR="114300">
            <wp:extent cx="5163185" cy="2633345"/>
            <wp:effectExtent l="4445" t="4445" r="13970" b="10160"/>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1280" w:firstLineChars="400"/>
        <w:rPr>
          <w:rFonts w:ascii="仿宋_GB2312" w:hAnsi="Times New Roman" w:eastAsia="仿宋_GB2312" w:cs="Times New Roman"/>
          <w:color w:val="FF0000"/>
          <w:sz w:val="32"/>
          <w:szCs w:val="32"/>
        </w:rPr>
      </w:pPr>
      <w:r>
        <w:rPr>
          <w:rFonts w:hint="eastAsia" w:ascii="仿宋" w:hAnsi="仿宋" w:eastAsia="仿宋"/>
          <w:sz w:val="32"/>
          <w:szCs w:val="32"/>
        </w:rPr>
        <w:t>（图</w:t>
      </w:r>
      <w:r>
        <w:rPr>
          <w:rFonts w:ascii="仿宋" w:hAnsi="仿宋" w:eastAsia="仿宋"/>
          <w:sz w:val="32"/>
          <w:szCs w:val="32"/>
        </w:rPr>
        <w:t>3</w:t>
      </w:r>
      <w:r>
        <w:rPr>
          <w:rFonts w:hint="eastAsia" w:ascii="仿宋" w:hAnsi="仿宋" w:eastAsia="仿宋"/>
          <w:sz w:val="32"/>
          <w:szCs w:val="32"/>
        </w:rPr>
        <w:t>：支出决算结构图）（饼状图）</w:t>
      </w:r>
    </w:p>
    <w:p>
      <w:pPr>
        <w:spacing w:line="600" w:lineRule="exact"/>
        <w:ind w:firstLine="640" w:firstLineChars="200"/>
        <w:outlineLvl w:val="1"/>
        <w:rPr>
          <w:rFonts w:ascii="黑体" w:hAnsi="宋体" w:eastAsia="黑体" w:cs="Times New Roman"/>
          <w:bCs/>
          <w:sz w:val="32"/>
          <w:szCs w:val="32"/>
        </w:rPr>
      </w:pPr>
      <w:r>
        <w:rPr>
          <w:rFonts w:hint="eastAsia" w:ascii="黑体" w:hAnsi="宋体" w:eastAsia="黑体" w:cs="黑体"/>
          <w:color w:val="000000"/>
          <w:sz w:val="32"/>
          <w:szCs w:val="32"/>
        </w:rPr>
        <w:t>四、财</w:t>
      </w:r>
      <w:r>
        <w:rPr>
          <w:rStyle w:val="22"/>
          <w:rFonts w:hint="eastAsia" w:ascii="黑体" w:hAnsi="宋体" w:eastAsia="黑体" w:cs="黑体"/>
          <w:b w:val="0"/>
        </w:rPr>
        <w:t>政拨款收入支出决算总体情况说明</w:t>
      </w:r>
    </w:p>
    <w:p>
      <w:pPr>
        <w:spacing w:line="600" w:lineRule="exact"/>
        <w:ind w:firstLine="640" w:firstLineChars="200"/>
      </w:pPr>
      <w:r>
        <w:rPr>
          <w:rFonts w:hint="eastAsia" w:ascii="仿宋" w:hAnsi="仿宋" w:eastAsia="仿宋" w:cs="仿宋"/>
          <w:color w:val="000000"/>
          <w:sz w:val="32"/>
          <w:szCs w:val="32"/>
        </w:rPr>
        <w:t>2022年度收、支财政拨款收入总计1741.14万元，与2021年1531.58万元相比，收、支总计增加209.56万元，增加13.68</w:t>
      </w:r>
      <w:r>
        <w:rPr>
          <w:rFonts w:hint="eastAsia" w:ascii="仿宋" w:hAnsi="仿宋" w:eastAsia="仿宋" w:cs="Times New Roman"/>
          <w:color w:val="000000"/>
          <w:sz w:val="32"/>
          <w:szCs w:val="32"/>
        </w:rPr>
        <w:t>%</w:t>
      </w:r>
      <w:r>
        <w:rPr>
          <w:rFonts w:hint="eastAsia" w:ascii="仿宋" w:hAnsi="仿宋" w:eastAsia="仿宋" w:cs="仿宋"/>
          <w:color w:val="000000"/>
          <w:sz w:val="32"/>
          <w:szCs w:val="32"/>
        </w:rPr>
        <w:t>。主要是一般公共服务支出增加124.43万元。</w:t>
      </w:r>
    </w:p>
    <w:p>
      <w:pPr>
        <w:pStyle w:val="16"/>
      </w:pPr>
    </w:p>
    <w:p>
      <w:pPr>
        <w:pStyle w:val="16"/>
      </w:pPr>
      <w:r>
        <w:drawing>
          <wp:inline distT="0" distB="0" distL="114300" distR="114300">
            <wp:extent cx="5092700" cy="4056380"/>
            <wp:effectExtent l="4445" t="4445" r="8255" b="15875"/>
            <wp:docPr id="4"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16"/>
      </w:pPr>
      <w:r>
        <w:rPr>
          <w:rFonts w:hint="eastAsia" w:ascii="仿宋" w:hAnsi="仿宋" w:eastAsia="仿宋"/>
          <w:sz w:val="32"/>
          <w:szCs w:val="32"/>
        </w:rPr>
        <w:t>（图</w:t>
      </w:r>
      <w:r>
        <w:rPr>
          <w:rFonts w:ascii="仿宋" w:hAnsi="仿宋" w:eastAsia="仿宋"/>
          <w:sz w:val="32"/>
          <w:szCs w:val="32"/>
        </w:rPr>
        <w:t>4</w:t>
      </w:r>
      <w:r>
        <w:rPr>
          <w:rFonts w:hint="eastAsia" w:ascii="仿宋" w:hAnsi="仿宋" w:eastAsia="仿宋"/>
          <w:sz w:val="32"/>
          <w:szCs w:val="32"/>
        </w:rPr>
        <w:t>：财政拨款收、支决算总计变动情况）（柱状图）</w:t>
      </w:r>
    </w:p>
    <w:p>
      <w:pPr>
        <w:spacing w:line="600" w:lineRule="exact"/>
        <w:ind w:firstLine="640" w:firstLineChars="200"/>
        <w:outlineLvl w:val="1"/>
        <w:rPr>
          <w:rFonts w:ascii="黑体" w:hAnsi="宋体" w:eastAsia="黑体" w:cs="Times New Roman"/>
          <w:bCs/>
          <w:sz w:val="32"/>
          <w:szCs w:val="32"/>
        </w:rPr>
      </w:pPr>
      <w:r>
        <w:rPr>
          <w:rFonts w:hint="eastAsia" w:ascii="黑体" w:hAnsi="宋体" w:eastAsia="黑体" w:cs="黑体"/>
          <w:color w:val="000000"/>
          <w:sz w:val="32"/>
          <w:szCs w:val="32"/>
        </w:rPr>
        <w:t>五、</w:t>
      </w:r>
      <w:r>
        <w:rPr>
          <w:rFonts w:hint="eastAsia" w:ascii="黑体" w:hAnsi="宋体" w:eastAsia="黑体" w:cs="黑体"/>
          <w:b/>
          <w:color w:val="000000"/>
          <w:sz w:val="32"/>
          <w:szCs w:val="32"/>
        </w:rPr>
        <w:t>一</w:t>
      </w:r>
      <w:r>
        <w:rPr>
          <w:rStyle w:val="22"/>
          <w:rFonts w:hint="eastAsia" w:ascii="黑体" w:hAnsi="宋体" w:eastAsia="黑体" w:cs="黑体"/>
          <w:b w:val="0"/>
        </w:rPr>
        <w:t>般公共预算财政拨款支出决算情况说明</w:t>
      </w:r>
    </w:p>
    <w:p>
      <w:pPr>
        <w:spacing w:line="600" w:lineRule="exact"/>
        <w:ind w:firstLine="643" w:firstLineChars="200"/>
        <w:outlineLvl w:val="2"/>
        <w:rPr>
          <w:rFonts w:ascii="仿宋" w:hAnsi="仿宋" w:eastAsia="仿宋" w:cs="Times New Roman"/>
          <w:b/>
          <w:color w:val="000000"/>
          <w:sz w:val="32"/>
          <w:szCs w:val="32"/>
        </w:rPr>
      </w:pPr>
      <w:r>
        <w:rPr>
          <w:rFonts w:hint="eastAsia" w:ascii="仿宋" w:hAnsi="仿宋" w:eastAsia="仿宋" w:cs="仿宋"/>
          <w:b/>
          <w:color w:val="000000"/>
          <w:sz w:val="32"/>
          <w:szCs w:val="32"/>
        </w:rPr>
        <w:t>（一）一般公共预算财政拨款支出决算总体情况</w:t>
      </w:r>
    </w:p>
    <w:p>
      <w:pPr>
        <w:spacing w:line="600" w:lineRule="exact"/>
        <w:ind w:firstLine="640" w:firstLineChars="200"/>
      </w:pPr>
      <w:r>
        <w:rPr>
          <w:rFonts w:hint="eastAsia" w:ascii="仿宋" w:hAnsi="仿宋" w:eastAsia="仿宋" w:cs="仿宋"/>
          <w:color w:val="000000"/>
          <w:sz w:val="32"/>
          <w:szCs w:val="32"/>
        </w:rPr>
        <w:t>2022年一般公共预算财政拨款支出1725.64万元，占本年支出合计的99.11</w:t>
      </w:r>
      <w:r>
        <w:rPr>
          <w:rFonts w:hint="eastAsia" w:ascii="仿宋" w:hAnsi="仿宋" w:eastAsia="仿宋" w:cs="Times New Roman"/>
          <w:color w:val="000000"/>
          <w:sz w:val="32"/>
          <w:szCs w:val="32"/>
        </w:rPr>
        <w:t>%</w:t>
      </w:r>
      <w:r>
        <w:rPr>
          <w:rFonts w:hint="eastAsia" w:ascii="仿宋" w:hAnsi="仿宋" w:eastAsia="仿宋" w:cs="仿宋"/>
          <w:color w:val="000000"/>
          <w:sz w:val="32"/>
          <w:szCs w:val="32"/>
        </w:rPr>
        <w:t>。与2021年相比，一般公共预算财政拨款增加194.06万元，增加12.67</w:t>
      </w:r>
      <w:r>
        <w:rPr>
          <w:rFonts w:hint="eastAsia" w:ascii="仿宋" w:hAnsi="仿宋" w:eastAsia="仿宋" w:cs="Times New Roman"/>
          <w:color w:val="000000"/>
          <w:sz w:val="32"/>
          <w:szCs w:val="32"/>
        </w:rPr>
        <w:t>%</w:t>
      </w:r>
      <w:r>
        <w:rPr>
          <w:rFonts w:hint="eastAsia" w:ascii="仿宋" w:hAnsi="仿宋" w:eastAsia="仿宋" w:cs="仿宋"/>
          <w:color w:val="000000"/>
          <w:sz w:val="32"/>
          <w:szCs w:val="32"/>
        </w:rPr>
        <w:t>。主要是项目支出增加了513.33万元。</w:t>
      </w:r>
    </w:p>
    <w:p>
      <w:pPr>
        <w:pStyle w:val="8"/>
        <w:spacing w:before="93"/>
        <w:rPr>
          <w:rFonts w:ascii="仿宋" w:hAnsi="仿宋" w:eastAsia="仿宋" w:cs="仿宋"/>
          <w:color w:val="000000"/>
          <w:kern w:val="2"/>
          <w:sz w:val="32"/>
          <w:szCs w:val="32"/>
        </w:rPr>
      </w:pPr>
      <w:r>
        <w:drawing>
          <wp:inline distT="0" distB="0" distL="114300" distR="114300">
            <wp:extent cx="5158740" cy="4788535"/>
            <wp:effectExtent l="4445" t="4445" r="18415" b="7620"/>
            <wp:docPr id="9"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560" w:lineRule="exact"/>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5</w:t>
      </w:r>
      <w:r>
        <w:rPr>
          <w:rFonts w:hint="eastAsia" w:ascii="仿宋" w:hAnsi="仿宋" w:eastAsia="仿宋"/>
          <w:sz w:val="32"/>
          <w:szCs w:val="32"/>
        </w:rPr>
        <w:t>：一般公共预算财政拨款支出决算变动）（柱状图）</w:t>
      </w:r>
    </w:p>
    <w:p>
      <w:pPr>
        <w:spacing w:line="600" w:lineRule="exact"/>
        <w:ind w:firstLine="643" w:firstLineChars="200"/>
        <w:outlineLvl w:val="2"/>
        <w:rPr>
          <w:rFonts w:ascii="仿宋" w:hAnsi="仿宋" w:eastAsia="仿宋" w:cs="Times New Roman"/>
          <w:b/>
          <w:color w:val="000000"/>
          <w:sz w:val="32"/>
          <w:szCs w:val="32"/>
        </w:rPr>
      </w:pPr>
      <w:r>
        <w:rPr>
          <w:rFonts w:hint="eastAsia" w:ascii="仿宋" w:hAnsi="仿宋" w:eastAsia="仿宋" w:cs="仿宋"/>
          <w:b/>
          <w:color w:val="000000"/>
          <w:sz w:val="32"/>
          <w:szCs w:val="32"/>
        </w:rPr>
        <w:t>（二）一般公共预算财政拨款支出决算结构情况</w:t>
      </w:r>
    </w:p>
    <w:p>
      <w:pPr>
        <w:spacing w:line="576"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2022年一般公共预算财政拨款支出1725.64万元，主要用于以下方面</w:t>
      </w:r>
      <w:r>
        <w:rPr>
          <w:rFonts w:hint="eastAsia" w:ascii="仿宋" w:hAnsi="仿宋" w:eastAsia="仿宋" w:cs="Times New Roman"/>
          <w:color w:val="000000"/>
          <w:sz w:val="32"/>
          <w:szCs w:val="32"/>
        </w:rPr>
        <w:t>:</w:t>
      </w:r>
      <w:r>
        <w:rPr>
          <w:rFonts w:hint="eastAsia" w:ascii="仿宋" w:hAnsi="仿宋" w:eastAsia="仿宋" w:cs="仿宋"/>
          <w:bCs/>
          <w:color w:val="000000"/>
          <w:sz w:val="32"/>
          <w:szCs w:val="32"/>
        </w:rPr>
        <w:t>一般公共服务</w:t>
      </w:r>
      <w:r>
        <w:rPr>
          <w:rFonts w:hint="eastAsia" w:ascii="仿宋" w:hAnsi="仿宋" w:eastAsia="仿宋" w:cs="仿宋"/>
          <w:color w:val="000000"/>
          <w:sz w:val="32"/>
          <w:szCs w:val="32"/>
        </w:rPr>
        <w:t>支出819.30万元，占47.48</w:t>
      </w:r>
      <w:r>
        <w:rPr>
          <w:rFonts w:hint="eastAsia" w:ascii="仿宋" w:hAnsi="仿宋" w:eastAsia="仿宋" w:cs="Times New Roman"/>
          <w:color w:val="000000"/>
          <w:sz w:val="32"/>
          <w:szCs w:val="32"/>
        </w:rPr>
        <w:t>%</w:t>
      </w:r>
      <w:r>
        <w:rPr>
          <w:rFonts w:hint="eastAsia" w:ascii="仿宋" w:hAnsi="仿宋" w:eastAsia="仿宋" w:cs="仿宋"/>
          <w:color w:val="000000"/>
          <w:sz w:val="32"/>
          <w:szCs w:val="32"/>
        </w:rPr>
        <w:t>；文化旅游体育与传媒支出1.5万元，占0.09%；社会保障和就业支出155.22万元，占8.99%；卫生健康支出43.26万元，占2.51%；城乡社区支出9万元，占0.52%；农林水支出605.71万元，占35.10%；住房保障支出81.65万元，占4.73%；灾害防治及应急管理支出10万元，占0.58%。</w:t>
      </w:r>
    </w:p>
    <w:p>
      <w:pPr>
        <w:pStyle w:val="8"/>
        <w:spacing w:before="93"/>
        <w:rPr>
          <w:rFonts w:ascii="仿宋" w:hAnsi="仿宋" w:eastAsia="仿宋" w:cs="仿宋"/>
          <w:color w:val="000000"/>
          <w:kern w:val="2"/>
          <w:sz w:val="32"/>
          <w:szCs w:val="32"/>
        </w:rPr>
      </w:pPr>
      <w:r>
        <w:drawing>
          <wp:inline distT="0" distB="0" distL="114300" distR="114300">
            <wp:extent cx="5160010" cy="3658870"/>
            <wp:effectExtent l="4445" t="4445" r="17145" b="13335"/>
            <wp:docPr id="11"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560" w:lineRule="exact"/>
        <w:jc w:val="center"/>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6</w:t>
      </w:r>
      <w:r>
        <w:rPr>
          <w:rFonts w:hint="eastAsia" w:ascii="仿宋" w:hAnsi="仿宋" w:eastAsia="仿宋"/>
          <w:sz w:val="32"/>
          <w:szCs w:val="32"/>
        </w:rPr>
        <w:t>：一般公共预算财政拨款支出决算结构）（饼状图）</w:t>
      </w:r>
    </w:p>
    <w:p>
      <w:pPr>
        <w:spacing w:line="600" w:lineRule="exact"/>
        <w:ind w:firstLine="643" w:firstLineChars="200"/>
        <w:rPr>
          <w:rFonts w:ascii="仿宋" w:hAnsi="仿宋" w:eastAsia="仿宋" w:cs="Times New Roman"/>
          <w:b/>
          <w:color w:val="000000"/>
          <w:sz w:val="32"/>
          <w:szCs w:val="32"/>
        </w:rPr>
      </w:pPr>
      <w:r>
        <w:rPr>
          <w:rFonts w:hint="eastAsia" w:ascii="仿宋" w:hAnsi="仿宋" w:eastAsia="仿宋" w:cs="仿宋"/>
          <w:b/>
          <w:color w:val="000000"/>
          <w:sz w:val="32"/>
          <w:szCs w:val="32"/>
        </w:rPr>
        <w:t>（三）一般公共预算财政拨款支出决算具体情况</w:t>
      </w:r>
    </w:p>
    <w:p>
      <w:pPr>
        <w:spacing w:line="576" w:lineRule="exact"/>
        <w:ind w:firstLine="640" w:firstLineChars="200"/>
        <w:outlineLvl w:val="2"/>
        <w:rPr>
          <w:rStyle w:val="27"/>
          <w:rFonts w:ascii="仿宋_GB2312" w:hAnsi="仿宋_GB2312" w:eastAsia="仿宋_GB2312" w:cs="仿宋_GB2312"/>
          <w:b w:val="0"/>
          <w:bCs/>
          <w:color w:val="000000"/>
          <w:sz w:val="32"/>
          <w:szCs w:val="32"/>
        </w:rPr>
      </w:pPr>
      <w:r>
        <w:rPr>
          <w:rFonts w:hint="eastAsia" w:ascii="仿宋_GB2312" w:hAnsi="仿宋_GB2312" w:eastAsia="仿宋_GB2312" w:cs="仿宋_GB2312"/>
          <w:bCs/>
          <w:color w:val="000000"/>
          <w:sz w:val="32"/>
          <w:szCs w:val="32"/>
        </w:rPr>
        <w:t>2022年一般公共预算支出决算数为1725.64万元，</w:t>
      </w:r>
      <w:r>
        <w:rPr>
          <w:rStyle w:val="27"/>
          <w:rFonts w:hint="eastAsia" w:ascii="仿宋_GB2312" w:hAnsi="仿宋_GB2312" w:eastAsia="仿宋_GB2312" w:cs="仿宋_GB2312"/>
          <w:b w:val="0"/>
          <w:bCs/>
          <w:color w:val="000000"/>
          <w:sz w:val="32"/>
          <w:szCs w:val="32"/>
        </w:rPr>
        <w:t>完成预算100%。其中：</w:t>
      </w:r>
    </w:p>
    <w:p>
      <w:pPr>
        <w:spacing w:line="576" w:lineRule="exact"/>
        <w:ind w:firstLine="640" w:firstLineChars="200"/>
        <w:rPr>
          <w:rStyle w:val="20"/>
          <w:rFonts w:ascii="仿宋_GB2312" w:hAnsi="仿宋_GB2312" w:eastAsia="仿宋_GB2312" w:cs="仿宋_GB2312"/>
          <w:b w:val="0"/>
          <w:bCs/>
          <w:sz w:val="32"/>
          <w:szCs w:val="32"/>
        </w:rPr>
      </w:pPr>
      <w:r>
        <w:rPr>
          <w:rStyle w:val="20"/>
          <w:rFonts w:hint="eastAsia" w:ascii="仿宋_GB2312" w:hAnsi="仿宋_GB2312" w:eastAsia="仿宋_GB2312" w:cs="仿宋_GB2312"/>
          <w:b w:val="0"/>
          <w:bCs/>
          <w:color w:val="000000"/>
          <w:sz w:val="32"/>
          <w:szCs w:val="32"/>
        </w:rPr>
        <w:t>1.一</w:t>
      </w:r>
      <w:r>
        <w:rPr>
          <w:rStyle w:val="20"/>
          <w:rFonts w:hint="eastAsia" w:ascii="仿宋_GB2312" w:hAnsi="仿宋_GB2312" w:eastAsia="仿宋_GB2312" w:cs="仿宋_GB2312"/>
          <w:b w:val="0"/>
          <w:bCs/>
          <w:sz w:val="32"/>
          <w:szCs w:val="32"/>
        </w:rPr>
        <w:t>般公共服务201（类）人大事务01（款）代表工作08（项）:支出决算为1.62万元，完成预算100%。</w:t>
      </w:r>
    </w:p>
    <w:p>
      <w:pPr>
        <w:spacing w:line="576" w:lineRule="exact"/>
        <w:ind w:firstLine="640" w:firstLineChars="200"/>
        <w:rPr>
          <w:rStyle w:val="20"/>
          <w:rFonts w:ascii="仿宋_GB2312" w:hAnsi="仿宋_GB2312" w:eastAsia="仿宋_GB2312" w:cs="仿宋_GB2312"/>
          <w:b w:val="0"/>
          <w:bCs/>
          <w:sz w:val="32"/>
          <w:szCs w:val="32"/>
        </w:rPr>
      </w:pPr>
      <w:r>
        <w:rPr>
          <w:rStyle w:val="20"/>
          <w:rFonts w:hint="eastAsia" w:ascii="仿宋_GB2312" w:hAnsi="仿宋_GB2312" w:eastAsia="仿宋_GB2312" w:cs="仿宋_GB2312"/>
          <w:b w:val="0"/>
          <w:bCs/>
          <w:color w:val="000000"/>
          <w:sz w:val="32"/>
          <w:szCs w:val="32"/>
        </w:rPr>
        <w:t>2.一</w:t>
      </w:r>
      <w:r>
        <w:rPr>
          <w:rStyle w:val="20"/>
          <w:rFonts w:hint="eastAsia" w:ascii="仿宋_GB2312" w:hAnsi="仿宋_GB2312" w:eastAsia="仿宋_GB2312" w:cs="仿宋_GB2312"/>
          <w:b w:val="0"/>
          <w:bCs/>
          <w:sz w:val="32"/>
          <w:szCs w:val="32"/>
        </w:rPr>
        <w:t>般公共服务201（类）人大事务01（款）其他人大事务支出99（项）:支出决算为2万元，完成预算100%。</w:t>
      </w:r>
    </w:p>
    <w:p>
      <w:pPr>
        <w:pStyle w:val="8"/>
        <w:spacing w:before="93" w:line="576" w:lineRule="exact"/>
        <w:ind w:firstLine="640" w:firstLineChars="200"/>
        <w:rPr>
          <w:rStyle w:val="20"/>
          <w:rFonts w:hAnsi="仿宋_GB2312" w:cs="仿宋_GB2312"/>
          <w:b w:val="0"/>
          <w:bCs/>
          <w:sz w:val="32"/>
          <w:szCs w:val="32"/>
        </w:rPr>
      </w:pPr>
      <w:r>
        <w:rPr>
          <w:rStyle w:val="20"/>
          <w:rFonts w:hint="eastAsia" w:hAnsi="仿宋_GB2312" w:cs="仿宋_GB2312"/>
          <w:b w:val="0"/>
          <w:bCs/>
          <w:color w:val="000000"/>
          <w:sz w:val="32"/>
          <w:szCs w:val="32"/>
        </w:rPr>
        <w:t>3.一</w:t>
      </w:r>
      <w:r>
        <w:rPr>
          <w:rStyle w:val="20"/>
          <w:rFonts w:hint="eastAsia" w:hAnsi="仿宋_GB2312" w:cs="仿宋_GB2312"/>
          <w:b w:val="0"/>
          <w:bCs/>
          <w:sz w:val="32"/>
          <w:szCs w:val="32"/>
        </w:rPr>
        <w:t>般公共服务201（类）政府办公厅（室）及相关机构事务03（款）行政运行01（项）:支出决算为811.08万元，完成预算100%。</w:t>
      </w:r>
    </w:p>
    <w:p>
      <w:pPr>
        <w:pStyle w:val="8"/>
        <w:spacing w:before="93" w:line="576" w:lineRule="exact"/>
        <w:ind w:firstLine="640" w:firstLineChars="200"/>
        <w:rPr>
          <w:rStyle w:val="20"/>
          <w:rFonts w:hAnsi="仿宋_GB2312" w:cs="仿宋_GB2312"/>
          <w:b w:val="0"/>
          <w:bCs/>
          <w:sz w:val="32"/>
          <w:szCs w:val="32"/>
        </w:rPr>
      </w:pPr>
      <w:r>
        <w:rPr>
          <w:rStyle w:val="20"/>
          <w:rFonts w:hint="eastAsia" w:hAnsi="仿宋_GB2312" w:cs="仿宋_GB2312"/>
          <w:b w:val="0"/>
          <w:bCs/>
          <w:color w:val="000000"/>
          <w:sz w:val="32"/>
          <w:szCs w:val="32"/>
        </w:rPr>
        <w:t>4.一</w:t>
      </w:r>
      <w:r>
        <w:rPr>
          <w:rStyle w:val="20"/>
          <w:rFonts w:hint="eastAsia" w:hAnsi="仿宋_GB2312" w:cs="仿宋_GB2312"/>
          <w:b w:val="0"/>
          <w:bCs/>
          <w:sz w:val="32"/>
          <w:szCs w:val="32"/>
        </w:rPr>
        <w:t>般公共服务201（类）纪检监察事务11（款）其他纪检监察事务99（项）:支出决算为4.6万元，完成预算100%。</w:t>
      </w:r>
    </w:p>
    <w:p>
      <w:pPr>
        <w:pStyle w:val="8"/>
        <w:spacing w:before="93" w:line="576" w:lineRule="exact"/>
        <w:ind w:firstLine="640" w:firstLineChars="200"/>
        <w:rPr>
          <w:rStyle w:val="20"/>
          <w:rFonts w:hAnsi="仿宋_GB2312" w:cs="仿宋_GB2312"/>
          <w:b w:val="0"/>
          <w:bCs/>
          <w:sz w:val="32"/>
          <w:szCs w:val="32"/>
        </w:rPr>
      </w:pPr>
      <w:r>
        <w:rPr>
          <w:rStyle w:val="20"/>
          <w:rFonts w:hint="eastAsia" w:hAnsi="仿宋_GB2312" w:cs="仿宋_GB2312"/>
          <w:b w:val="0"/>
          <w:bCs/>
          <w:color w:val="000000"/>
          <w:sz w:val="32"/>
          <w:szCs w:val="32"/>
        </w:rPr>
        <w:t>5.文化旅游体育与传媒支出</w:t>
      </w:r>
      <w:r>
        <w:rPr>
          <w:rStyle w:val="20"/>
          <w:rFonts w:hint="eastAsia" w:hAnsi="仿宋_GB2312" w:cs="仿宋_GB2312"/>
          <w:b w:val="0"/>
          <w:bCs/>
          <w:sz w:val="32"/>
          <w:szCs w:val="32"/>
        </w:rPr>
        <w:t>207（类）文化和旅游01（款）群众文化09（项）:支出决算为1.5万元，完成预算100%。</w:t>
      </w:r>
    </w:p>
    <w:p>
      <w:pPr>
        <w:pStyle w:val="8"/>
        <w:spacing w:before="93" w:line="576" w:lineRule="exact"/>
        <w:ind w:firstLine="640" w:firstLineChars="200"/>
        <w:rPr>
          <w:rStyle w:val="20"/>
          <w:rFonts w:hAnsi="仿宋_GB2312" w:cs="仿宋_GB2312"/>
          <w:b w:val="0"/>
          <w:bCs/>
          <w:sz w:val="32"/>
          <w:szCs w:val="32"/>
        </w:rPr>
      </w:pPr>
      <w:r>
        <w:rPr>
          <w:rStyle w:val="20"/>
          <w:rFonts w:hint="eastAsia" w:hAnsi="仿宋_GB2312" w:cs="仿宋_GB2312"/>
          <w:b w:val="0"/>
          <w:bCs/>
          <w:color w:val="000000"/>
          <w:sz w:val="32"/>
          <w:szCs w:val="32"/>
        </w:rPr>
        <w:t>6.社会保障和就业支出</w:t>
      </w:r>
      <w:r>
        <w:rPr>
          <w:rStyle w:val="20"/>
          <w:rFonts w:hint="eastAsia" w:hAnsi="仿宋_GB2312" w:cs="仿宋_GB2312"/>
          <w:b w:val="0"/>
          <w:bCs/>
          <w:sz w:val="32"/>
          <w:szCs w:val="32"/>
        </w:rPr>
        <w:t>208（类）行政事业单位养老支出05（款）行政单位离退休01（项）:支出决算为72.5万元，完成预算100%。</w:t>
      </w:r>
    </w:p>
    <w:p>
      <w:pPr>
        <w:pStyle w:val="8"/>
        <w:spacing w:before="93" w:line="576" w:lineRule="exact"/>
        <w:ind w:firstLine="640" w:firstLineChars="200"/>
        <w:rPr>
          <w:rStyle w:val="20"/>
          <w:rFonts w:hAnsi="仿宋_GB2312" w:cs="仿宋_GB2312"/>
          <w:b w:val="0"/>
          <w:bCs/>
          <w:sz w:val="32"/>
          <w:szCs w:val="32"/>
        </w:rPr>
      </w:pPr>
      <w:r>
        <w:rPr>
          <w:rStyle w:val="20"/>
          <w:rFonts w:hint="eastAsia" w:hAnsi="仿宋_GB2312" w:cs="仿宋_GB2312"/>
          <w:b w:val="0"/>
          <w:bCs/>
          <w:color w:val="000000"/>
          <w:sz w:val="32"/>
          <w:szCs w:val="32"/>
        </w:rPr>
        <w:t>7.社会保障和就业支出</w:t>
      </w:r>
      <w:r>
        <w:rPr>
          <w:rStyle w:val="20"/>
          <w:rFonts w:hint="eastAsia" w:hAnsi="仿宋_GB2312" w:cs="仿宋_GB2312"/>
          <w:b w:val="0"/>
          <w:bCs/>
          <w:sz w:val="32"/>
          <w:szCs w:val="32"/>
        </w:rPr>
        <w:t>208（类）行政事业单位养老支出05（款）机关事业单位基本养老保险支出05（项）:支出决算为82.72万元，完成预算100%。</w:t>
      </w:r>
    </w:p>
    <w:p>
      <w:pPr>
        <w:pStyle w:val="8"/>
        <w:spacing w:before="93" w:line="576" w:lineRule="exact"/>
        <w:ind w:firstLine="640" w:firstLineChars="200"/>
        <w:rPr>
          <w:rStyle w:val="20"/>
          <w:rFonts w:hAnsi="仿宋_GB2312" w:cs="仿宋_GB2312"/>
          <w:b w:val="0"/>
          <w:bCs/>
          <w:sz w:val="32"/>
          <w:szCs w:val="32"/>
        </w:rPr>
      </w:pPr>
      <w:r>
        <w:rPr>
          <w:rStyle w:val="20"/>
          <w:rFonts w:hint="eastAsia" w:hAnsi="仿宋_GB2312" w:cs="仿宋_GB2312"/>
          <w:b w:val="0"/>
          <w:bCs/>
          <w:color w:val="000000"/>
          <w:sz w:val="32"/>
          <w:szCs w:val="32"/>
        </w:rPr>
        <w:t>8.卫生健康支出</w:t>
      </w:r>
      <w:r>
        <w:rPr>
          <w:rStyle w:val="20"/>
          <w:rFonts w:hint="eastAsia" w:hAnsi="仿宋_GB2312" w:cs="仿宋_GB2312"/>
          <w:b w:val="0"/>
          <w:bCs/>
          <w:sz w:val="32"/>
          <w:szCs w:val="32"/>
        </w:rPr>
        <w:t>210（类）计划生育事务07（款）其他计划生育事务99（项）:支出决算为4.82万元，完成预算100%。</w:t>
      </w:r>
    </w:p>
    <w:p>
      <w:pPr>
        <w:pStyle w:val="8"/>
        <w:spacing w:before="93" w:line="576" w:lineRule="exact"/>
        <w:ind w:firstLine="640" w:firstLineChars="200"/>
        <w:rPr>
          <w:rStyle w:val="20"/>
          <w:rFonts w:hAnsi="仿宋_GB2312" w:cs="仿宋_GB2312"/>
          <w:b w:val="0"/>
          <w:bCs/>
          <w:sz w:val="32"/>
          <w:szCs w:val="32"/>
        </w:rPr>
      </w:pPr>
      <w:r>
        <w:rPr>
          <w:rStyle w:val="20"/>
          <w:rFonts w:hint="eastAsia" w:hAnsi="仿宋_GB2312" w:cs="仿宋_GB2312"/>
          <w:b w:val="0"/>
          <w:bCs/>
          <w:color w:val="000000"/>
          <w:sz w:val="32"/>
          <w:szCs w:val="32"/>
        </w:rPr>
        <w:t>9.卫生健康支出</w:t>
      </w:r>
      <w:r>
        <w:rPr>
          <w:rStyle w:val="20"/>
          <w:rFonts w:hint="eastAsia" w:hAnsi="仿宋_GB2312" w:cs="仿宋_GB2312"/>
          <w:b w:val="0"/>
          <w:bCs/>
          <w:sz w:val="32"/>
          <w:szCs w:val="32"/>
        </w:rPr>
        <w:t>210（类）行政事业单位医疗11（款）行政单位医疗01（项）:支出决算为22万元，完成预算100%。</w:t>
      </w:r>
    </w:p>
    <w:p>
      <w:pPr>
        <w:pStyle w:val="8"/>
        <w:spacing w:before="93" w:line="576" w:lineRule="exact"/>
        <w:ind w:firstLine="640" w:firstLineChars="200"/>
        <w:rPr>
          <w:rStyle w:val="20"/>
          <w:rFonts w:hAnsi="仿宋_GB2312" w:cs="仿宋_GB2312"/>
          <w:b w:val="0"/>
          <w:bCs/>
          <w:sz w:val="32"/>
          <w:szCs w:val="32"/>
        </w:rPr>
      </w:pPr>
      <w:r>
        <w:rPr>
          <w:rStyle w:val="20"/>
          <w:rFonts w:hint="eastAsia" w:hAnsi="仿宋_GB2312" w:cs="仿宋_GB2312"/>
          <w:b w:val="0"/>
          <w:bCs/>
          <w:color w:val="000000"/>
          <w:sz w:val="32"/>
          <w:szCs w:val="32"/>
        </w:rPr>
        <w:t>10.卫生健康支出</w:t>
      </w:r>
      <w:r>
        <w:rPr>
          <w:rStyle w:val="20"/>
          <w:rFonts w:hint="eastAsia" w:hAnsi="仿宋_GB2312" w:cs="仿宋_GB2312"/>
          <w:b w:val="0"/>
          <w:bCs/>
          <w:sz w:val="32"/>
          <w:szCs w:val="32"/>
        </w:rPr>
        <w:t>210（类）行政事业单位医疗11（款）事业单位医疗02（项）:支出决算为16.44万元，完成预算100%。</w:t>
      </w:r>
    </w:p>
    <w:p>
      <w:pPr>
        <w:pStyle w:val="8"/>
        <w:spacing w:before="93" w:line="576" w:lineRule="exact"/>
        <w:ind w:firstLine="640" w:firstLineChars="200"/>
        <w:rPr>
          <w:rStyle w:val="20"/>
          <w:rFonts w:hAnsi="仿宋_GB2312" w:cs="仿宋_GB2312"/>
          <w:b w:val="0"/>
          <w:bCs/>
          <w:sz w:val="32"/>
          <w:szCs w:val="32"/>
        </w:rPr>
      </w:pPr>
      <w:r>
        <w:rPr>
          <w:rStyle w:val="20"/>
          <w:rFonts w:hint="eastAsia" w:hAnsi="仿宋_GB2312" w:cs="仿宋_GB2312"/>
          <w:b w:val="0"/>
          <w:bCs/>
          <w:color w:val="000000"/>
          <w:sz w:val="32"/>
          <w:szCs w:val="32"/>
        </w:rPr>
        <w:t>11.城乡社区支出</w:t>
      </w:r>
      <w:r>
        <w:rPr>
          <w:rStyle w:val="20"/>
          <w:rFonts w:hint="eastAsia" w:hAnsi="仿宋_GB2312" w:cs="仿宋_GB2312"/>
          <w:b w:val="0"/>
          <w:bCs/>
          <w:sz w:val="32"/>
          <w:szCs w:val="32"/>
        </w:rPr>
        <w:t>212（类）</w:t>
      </w:r>
      <w:r>
        <w:rPr>
          <w:rStyle w:val="20"/>
          <w:rFonts w:hint="eastAsia" w:hAnsi="仿宋_GB2312" w:cs="仿宋_GB2312"/>
          <w:b w:val="0"/>
          <w:bCs/>
          <w:color w:val="000000"/>
          <w:sz w:val="32"/>
          <w:szCs w:val="32"/>
        </w:rPr>
        <w:t>城乡社区环境卫生</w:t>
      </w:r>
      <w:r>
        <w:rPr>
          <w:rStyle w:val="20"/>
          <w:rFonts w:hint="eastAsia" w:hAnsi="仿宋_GB2312" w:cs="仿宋_GB2312"/>
          <w:b w:val="0"/>
          <w:bCs/>
          <w:sz w:val="32"/>
          <w:szCs w:val="32"/>
        </w:rPr>
        <w:t>05（款）</w:t>
      </w:r>
      <w:r>
        <w:rPr>
          <w:rStyle w:val="20"/>
          <w:rFonts w:hint="eastAsia" w:hAnsi="仿宋_GB2312" w:cs="仿宋_GB2312"/>
          <w:b w:val="0"/>
          <w:bCs/>
          <w:color w:val="000000"/>
          <w:sz w:val="32"/>
          <w:szCs w:val="32"/>
        </w:rPr>
        <w:t>城乡社区环境卫生</w:t>
      </w:r>
      <w:r>
        <w:rPr>
          <w:rStyle w:val="20"/>
          <w:rFonts w:hint="eastAsia" w:hAnsi="仿宋_GB2312" w:cs="仿宋_GB2312"/>
          <w:b w:val="0"/>
          <w:bCs/>
          <w:sz w:val="32"/>
          <w:szCs w:val="32"/>
        </w:rPr>
        <w:t>01（项）:支出决算为9万元，完成预算100%。</w:t>
      </w:r>
    </w:p>
    <w:p>
      <w:pPr>
        <w:pStyle w:val="8"/>
        <w:spacing w:before="93" w:line="576" w:lineRule="exact"/>
        <w:ind w:firstLine="640" w:firstLineChars="200"/>
        <w:rPr>
          <w:rStyle w:val="20"/>
          <w:rFonts w:hAnsi="仿宋_GB2312" w:cs="仿宋_GB2312"/>
          <w:b w:val="0"/>
          <w:bCs/>
          <w:sz w:val="32"/>
          <w:szCs w:val="32"/>
        </w:rPr>
      </w:pPr>
      <w:r>
        <w:rPr>
          <w:rStyle w:val="20"/>
          <w:rFonts w:hint="eastAsia" w:hAnsi="仿宋_GB2312" w:cs="仿宋_GB2312"/>
          <w:b w:val="0"/>
          <w:bCs/>
          <w:color w:val="000000"/>
          <w:sz w:val="32"/>
          <w:szCs w:val="32"/>
        </w:rPr>
        <w:t>12.农林水支出</w:t>
      </w:r>
      <w:r>
        <w:rPr>
          <w:rStyle w:val="20"/>
          <w:rFonts w:hint="eastAsia" w:hAnsi="仿宋_GB2312" w:cs="仿宋_GB2312"/>
          <w:b w:val="0"/>
          <w:bCs/>
          <w:sz w:val="32"/>
          <w:szCs w:val="32"/>
        </w:rPr>
        <w:t>213（类）</w:t>
      </w:r>
      <w:r>
        <w:rPr>
          <w:rStyle w:val="20"/>
          <w:rFonts w:hint="eastAsia" w:hAnsi="仿宋_GB2312" w:cs="仿宋_GB2312"/>
          <w:b w:val="0"/>
          <w:bCs/>
          <w:color w:val="000000"/>
          <w:sz w:val="32"/>
          <w:szCs w:val="32"/>
        </w:rPr>
        <w:t>农业农村</w:t>
      </w:r>
      <w:r>
        <w:rPr>
          <w:rStyle w:val="20"/>
          <w:rFonts w:hint="eastAsia" w:hAnsi="仿宋_GB2312" w:cs="仿宋_GB2312"/>
          <w:b w:val="0"/>
          <w:bCs/>
          <w:sz w:val="32"/>
          <w:szCs w:val="32"/>
        </w:rPr>
        <w:t>01（款）</w:t>
      </w:r>
      <w:r>
        <w:rPr>
          <w:rStyle w:val="20"/>
          <w:rFonts w:hint="eastAsia" w:hAnsi="仿宋_GB2312" w:cs="仿宋_GB2312"/>
          <w:b w:val="0"/>
          <w:bCs/>
          <w:color w:val="000000"/>
          <w:sz w:val="32"/>
          <w:szCs w:val="32"/>
        </w:rPr>
        <w:t>行政运行</w:t>
      </w:r>
      <w:r>
        <w:rPr>
          <w:rStyle w:val="20"/>
          <w:rFonts w:hint="eastAsia" w:hAnsi="仿宋_GB2312" w:cs="仿宋_GB2312"/>
          <w:b w:val="0"/>
          <w:bCs/>
          <w:sz w:val="32"/>
          <w:szCs w:val="32"/>
        </w:rPr>
        <w:t>01（项）:支出决算为101万元，完成预算100%。</w:t>
      </w:r>
    </w:p>
    <w:p>
      <w:pPr>
        <w:pStyle w:val="8"/>
        <w:spacing w:before="93" w:line="576" w:lineRule="exact"/>
        <w:ind w:firstLine="640" w:firstLineChars="200"/>
        <w:rPr>
          <w:rStyle w:val="20"/>
          <w:rFonts w:hAnsi="仿宋_GB2312" w:cs="仿宋_GB2312"/>
          <w:b w:val="0"/>
          <w:bCs/>
          <w:sz w:val="32"/>
          <w:szCs w:val="32"/>
        </w:rPr>
      </w:pPr>
      <w:r>
        <w:rPr>
          <w:rStyle w:val="20"/>
          <w:rFonts w:hint="eastAsia" w:hAnsi="仿宋_GB2312" w:cs="仿宋_GB2312"/>
          <w:b w:val="0"/>
          <w:bCs/>
          <w:color w:val="000000"/>
          <w:sz w:val="32"/>
          <w:szCs w:val="32"/>
        </w:rPr>
        <w:t>13.农林水支出</w:t>
      </w:r>
      <w:r>
        <w:rPr>
          <w:rStyle w:val="20"/>
          <w:rFonts w:hint="eastAsia" w:hAnsi="仿宋_GB2312" w:cs="仿宋_GB2312"/>
          <w:b w:val="0"/>
          <w:bCs/>
          <w:sz w:val="32"/>
          <w:szCs w:val="32"/>
        </w:rPr>
        <w:t>213（类）</w:t>
      </w:r>
      <w:r>
        <w:rPr>
          <w:rStyle w:val="20"/>
          <w:rFonts w:hint="eastAsia" w:hAnsi="仿宋_GB2312" w:cs="仿宋_GB2312"/>
          <w:b w:val="0"/>
          <w:bCs/>
          <w:color w:val="000000"/>
          <w:sz w:val="32"/>
          <w:szCs w:val="32"/>
        </w:rPr>
        <w:t>农业农村</w:t>
      </w:r>
      <w:r>
        <w:rPr>
          <w:rStyle w:val="20"/>
          <w:rFonts w:hint="eastAsia" w:hAnsi="仿宋_GB2312" w:cs="仿宋_GB2312"/>
          <w:b w:val="0"/>
          <w:bCs/>
          <w:sz w:val="32"/>
          <w:szCs w:val="32"/>
        </w:rPr>
        <w:t>01（款）防灾救灾</w:t>
      </w:r>
      <w:r>
        <w:rPr>
          <w:rStyle w:val="20"/>
          <w:rFonts w:hint="eastAsia" w:hAnsi="仿宋_GB2312" w:cs="仿宋_GB2312"/>
          <w:b w:val="0"/>
          <w:bCs/>
          <w:color w:val="000000"/>
          <w:sz w:val="32"/>
          <w:szCs w:val="32"/>
        </w:rPr>
        <w:t>19</w:t>
      </w:r>
      <w:r>
        <w:rPr>
          <w:rStyle w:val="20"/>
          <w:rFonts w:hint="eastAsia" w:hAnsi="仿宋_GB2312" w:cs="仿宋_GB2312"/>
          <w:b w:val="0"/>
          <w:bCs/>
          <w:sz w:val="32"/>
          <w:szCs w:val="32"/>
        </w:rPr>
        <w:t>（项）:支出决算为89万元，完成预算100%。</w:t>
      </w:r>
    </w:p>
    <w:p>
      <w:pPr>
        <w:pStyle w:val="8"/>
        <w:spacing w:before="93" w:line="576" w:lineRule="exact"/>
        <w:ind w:firstLine="640" w:firstLineChars="200"/>
        <w:rPr>
          <w:rStyle w:val="20"/>
          <w:rFonts w:hAnsi="仿宋_GB2312" w:cs="仿宋_GB2312"/>
          <w:b w:val="0"/>
          <w:bCs/>
          <w:sz w:val="32"/>
          <w:szCs w:val="32"/>
        </w:rPr>
      </w:pPr>
      <w:r>
        <w:rPr>
          <w:rStyle w:val="20"/>
          <w:rFonts w:hint="eastAsia" w:hAnsi="仿宋_GB2312" w:cs="仿宋_GB2312"/>
          <w:b w:val="0"/>
          <w:bCs/>
          <w:color w:val="000000"/>
          <w:sz w:val="32"/>
          <w:szCs w:val="32"/>
        </w:rPr>
        <w:t>14.农林水支出</w:t>
      </w:r>
      <w:r>
        <w:rPr>
          <w:rStyle w:val="20"/>
          <w:rFonts w:hint="eastAsia" w:hAnsi="仿宋_GB2312" w:cs="仿宋_GB2312"/>
          <w:b w:val="0"/>
          <w:bCs/>
          <w:sz w:val="32"/>
          <w:szCs w:val="32"/>
        </w:rPr>
        <w:t>213（类）</w:t>
      </w:r>
      <w:r>
        <w:rPr>
          <w:rStyle w:val="20"/>
          <w:rFonts w:hint="eastAsia" w:hAnsi="仿宋_GB2312" w:cs="仿宋_GB2312"/>
          <w:b w:val="0"/>
          <w:bCs/>
          <w:color w:val="000000"/>
          <w:sz w:val="32"/>
          <w:szCs w:val="32"/>
        </w:rPr>
        <w:t>农业农村</w:t>
      </w:r>
      <w:r>
        <w:rPr>
          <w:rStyle w:val="20"/>
          <w:rFonts w:hint="eastAsia" w:hAnsi="仿宋_GB2312" w:cs="仿宋_GB2312"/>
          <w:b w:val="0"/>
          <w:bCs/>
          <w:sz w:val="32"/>
          <w:szCs w:val="32"/>
        </w:rPr>
        <w:t>01（款）</w:t>
      </w:r>
      <w:r>
        <w:rPr>
          <w:rStyle w:val="20"/>
          <w:rFonts w:hint="eastAsia" w:hAnsi="仿宋_GB2312" w:cs="仿宋_GB2312"/>
          <w:b w:val="0"/>
          <w:bCs/>
          <w:color w:val="000000"/>
          <w:sz w:val="32"/>
          <w:szCs w:val="32"/>
        </w:rPr>
        <w:t>农村道路建设</w:t>
      </w:r>
      <w:r>
        <w:rPr>
          <w:rStyle w:val="20"/>
          <w:rFonts w:hint="eastAsia" w:hAnsi="仿宋_GB2312" w:cs="仿宋_GB2312"/>
          <w:b w:val="0"/>
          <w:bCs/>
          <w:sz w:val="32"/>
          <w:szCs w:val="32"/>
        </w:rPr>
        <w:t>42（项）:支出决算为3.34万元，完成预算100%。</w:t>
      </w:r>
    </w:p>
    <w:p>
      <w:pPr>
        <w:pStyle w:val="8"/>
        <w:spacing w:before="93" w:line="576" w:lineRule="exact"/>
        <w:ind w:firstLine="640" w:firstLineChars="200"/>
        <w:rPr>
          <w:rStyle w:val="20"/>
          <w:rFonts w:hAnsi="仿宋_GB2312" w:cs="仿宋_GB2312"/>
          <w:b w:val="0"/>
          <w:bCs/>
          <w:color w:val="000000"/>
          <w:sz w:val="32"/>
          <w:szCs w:val="32"/>
        </w:rPr>
      </w:pPr>
      <w:r>
        <w:rPr>
          <w:rStyle w:val="20"/>
          <w:rFonts w:hint="eastAsia" w:hAnsi="仿宋_GB2312" w:cs="仿宋_GB2312"/>
          <w:b w:val="0"/>
          <w:bCs/>
          <w:color w:val="000000"/>
          <w:sz w:val="32"/>
          <w:szCs w:val="32"/>
        </w:rPr>
        <w:t>15.农林水支出</w:t>
      </w:r>
      <w:r>
        <w:rPr>
          <w:rStyle w:val="20"/>
          <w:rFonts w:hint="eastAsia" w:hAnsi="仿宋_GB2312" w:cs="仿宋_GB2312"/>
          <w:b w:val="0"/>
          <w:bCs/>
          <w:sz w:val="32"/>
          <w:szCs w:val="32"/>
        </w:rPr>
        <w:t>213（类）巩固脱贫衔接乡村振兴05（款）生产发展05（项）:支出决算为10万元，完成预算100%。</w:t>
      </w:r>
    </w:p>
    <w:p>
      <w:pPr>
        <w:pStyle w:val="8"/>
        <w:spacing w:before="93" w:line="576" w:lineRule="exact"/>
        <w:ind w:firstLine="640" w:firstLineChars="200"/>
        <w:rPr>
          <w:rStyle w:val="20"/>
          <w:rFonts w:hAnsi="仿宋_GB2312" w:cs="仿宋_GB2312"/>
          <w:b w:val="0"/>
          <w:bCs/>
          <w:sz w:val="32"/>
          <w:szCs w:val="32"/>
        </w:rPr>
      </w:pPr>
      <w:r>
        <w:rPr>
          <w:rStyle w:val="20"/>
          <w:rFonts w:hint="eastAsia" w:hAnsi="仿宋_GB2312" w:cs="仿宋_GB2312"/>
          <w:b w:val="0"/>
          <w:bCs/>
          <w:color w:val="000000"/>
          <w:sz w:val="32"/>
          <w:szCs w:val="32"/>
        </w:rPr>
        <w:t>16.农林水支出</w:t>
      </w:r>
      <w:r>
        <w:rPr>
          <w:rStyle w:val="20"/>
          <w:rFonts w:hint="eastAsia" w:hAnsi="仿宋_GB2312" w:cs="仿宋_GB2312"/>
          <w:b w:val="0"/>
          <w:bCs/>
          <w:sz w:val="32"/>
          <w:szCs w:val="32"/>
        </w:rPr>
        <w:t>213（类）</w:t>
      </w:r>
      <w:r>
        <w:rPr>
          <w:rStyle w:val="20"/>
          <w:rFonts w:hint="eastAsia" w:hAnsi="仿宋_GB2312" w:cs="仿宋_GB2312"/>
          <w:b w:val="0"/>
          <w:bCs/>
          <w:color w:val="000000"/>
          <w:sz w:val="32"/>
          <w:szCs w:val="32"/>
        </w:rPr>
        <w:t>巩固脱贫衔接乡村振兴</w:t>
      </w:r>
      <w:r>
        <w:rPr>
          <w:rStyle w:val="20"/>
          <w:rFonts w:hint="eastAsia" w:hAnsi="仿宋_GB2312" w:cs="仿宋_GB2312"/>
          <w:b w:val="0"/>
          <w:bCs/>
          <w:sz w:val="32"/>
          <w:szCs w:val="32"/>
        </w:rPr>
        <w:t>05（款）  其他巩固脱贫衔接乡村振兴支出99（项）:支出决算为43.97万元，完成预算100%。</w:t>
      </w:r>
    </w:p>
    <w:p>
      <w:pPr>
        <w:pStyle w:val="8"/>
        <w:spacing w:before="93" w:line="576" w:lineRule="exact"/>
        <w:ind w:firstLine="640" w:firstLineChars="200"/>
        <w:rPr>
          <w:rStyle w:val="20"/>
          <w:rFonts w:hAnsi="仿宋_GB2312" w:cs="仿宋_GB2312"/>
          <w:b w:val="0"/>
          <w:bCs/>
          <w:sz w:val="32"/>
          <w:szCs w:val="32"/>
        </w:rPr>
      </w:pPr>
      <w:r>
        <w:rPr>
          <w:rStyle w:val="20"/>
          <w:rFonts w:hint="eastAsia" w:hAnsi="仿宋_GB2312" w:cs="仿宋_GB2312"/>
          <w:b w:val="0"/>
          <w:bCs/>
          <w:color w:val="000000"/>
          <w:sz w:val="32"/>
          <w:szCs w:val="32"/>
        </w:rPr>
        <w:t>17.农林水支出</w:t>
      </w:r>
      <w:r>
        <w:rPr>
          <w:rStyle w:val="20"/>
          <w:rFonts w:hint="eastAsia" w:hAnsi="仿宋_GB2312" w:cs="仿宋_GB2312"/>
          <w:b w:val="0"/>
          <w:bCs/>
          <w:sz w:val="32"/>
          <w:szCs w:val="32"/>
        </w:rPr>
        <w:t>213（类）</w:t>
      </w:r>
      <w:r>
        <w:rPr>
          <w:rStyle w:val="20"/>
          <w:rFonts w:hint="eastAsia" w:hAnsi="仿宋_GB2312" w:cs="仿宋_GB2312"/>
          <w:b w:val="0"/>
          <w:bCs/>
          <w:color w:val="000000"/>
          <w:sz w:val="32"/>
          <w:szCs w:val="32"/>
        </w:rPr>
        <w:t>农村综合改革</w:t>
      </w:r>
      <w:r>
        <w:rPr>
          <w:rStyle w:val="20"/>
          <w:rFonts w:hint="eastAsia" w:hAnsi="仿宋_GB2312" w:cs="仿宋_GB2312"/>
          <w:b w:val="0"/>
          <w:bCs/>
          <w:sz w:val="32"/>
          <w:szCs w:val="32"/>
        </w:rPr>
        <w:t>07（款）</w:t>
      </w:r>
      <w:r>
        <w:rPr>
          <w:rStyle w:val="20"/>
          <w:rFonts w:hint="eastAsia" w:hAnsi="仿宋_GB2312" w:cs="仿宋_GB2312"/>
          <w:b w:val="0"/>
          <w:bCs/>
          <w:color w:val="000000"/>
          <w:sz w:val="32"/>
          <w:szCs w:val="32"/>
        </w:rPr>
        <w:t>对村民委员会和党支部支出</w:t>
      </w:r>
      <w:r>
        <w:rPr>
          <w:rStyle w:val="20"/>
          <w:rFonts w:hint="eastAsia" w:hAnsi="仿宋_GB2312" w:cs="仿宋_GB2312"/>
          <w:b w:val="0"/>
          <w:bCs/>
          <w:sz w:val="32"/>
          <w:szCs w:val="32"/>
        </w:rPr>
        <w:t>05（项）:支出决算为358.40万元，完成预算100%。</w:t>
      </w:r>
    </w:p>
    <w:p>
      <w:pPr>
        <w:spacing w:line="576"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18.住房保障</w:t>
      </w:r>
      <w:r>
        <w:rPr>
          <w:rStyle w:val="20"/>
          <w:rFonts w:hint="eastAsia" w:ascii="仿宋_GB2312" w:hAnsi="仿宋_GB2312" w:eastAsia="仿宋_GB2312" w:cs="仿宋_GB2312"/>
          <w:b w:val="0"/>
          <w:bCs/>
          <w:sz w:val="32"/>
          <w:szCs w:val="32"/>
        </w:rPr>
        <w:t>221（类）住房改革支出02（款）住房公积金01（项）:支出决算为81.65万元，完成预算100%。</w:t>
      </w:r>
    </w:p>
    <w:p>
      <w:pPr>
        <w:pStyle w:val="8"/>
        <w:spacing w:before="93" w:line="576" w:lineRule="exact"/>
        <w:ind w:firstLine="640" w:firstLineChars="200"/>
        <w:rPr>
          <w:rFonts w:hAnsi="仿宋_GB2312" w:cs="仿宋_GB2312"/>
          <w:bCs/>
          <w:sz w:val="32"/>
          <w:szCs w:val="32"/>
        </w:rPr>
      </w:pPr>
      <w:r>
        <w:rPr>
          <w:rFonts w:hint="eastAsia" w:hAnsi="仿宋_GB2312" w:cs="仿宋_GB2312"/>
          <w:bCs/>
          <w:sz w:val="32"/>
          <w:szCs w:val="32"/>
        </w:rPr>
        <w:t>19.灾害防治及应急管理支出224（类）自然灾害救灾及恢复重建支出07（款）其他自然灾害救灾及恢复重建支出99（项）：支出决算为10万元，完成预算100%。</w:t>
      </w:r>
    </w:p>
    <w:p>
      <w:pPr>
        <w:spacing w:line="600" w:lineRule="exact"/>
        <w:ind w:firstLine="640" w:firstLineChars="200"/>
        <w:outlineLvl w:val="1"/>
        <w:rPr>
          <w:rFonts w:ascii="Cambria" w:hAnsi="Cambria" w:eastAsia="宋体" w:cs="Times New Roman"/>
          <w:b/>
          <w:bCs/>
          <w:sz w:val="32"/>
          <w:szCs w:val="32"/>
        </w:rPr>
      </w:pPr>
      <w:r>
        <w:rPr>
          <w:rFonts w:hint="eastAsia" w:ascii="黑体" w:hAnsi="宋体" w:eastAsia="黑体" w:cs="黑体"/>
          <w:color w:val="000000"/>
          <w:sz w:val="32"/>
          <w:szCs w:val="32"/>
        </w:rPr>
        <w:t>六</w:t>
      </w:r>
      <w:r>
        <w:rPr>
          <w:rFonts w:hint="eastAsia" w:ascii="黑体" w:hAnsi="宋体" w:eastAsia="黑体" w:cs="黑体"/>
          <w:b/>
          <w:color w:val="000000"/>
          <w:sz w:val="32"/>
          <w:szCs w:val="32"/>
        </w:rPr>
        <w:t>、一</w:t>
      </w:r>
      <w:r>
        <w:rPr>
          <w:rStyle w:val="22"/>
          <w:rFonts w:hint="eastAsia" w:ascii="黑体" w:hAnsi="宋体" w:eastAsia="黑体" w:cs="黑体"/>
          <w:b w:val="0"/>
        </w:rPr>
        <w:t>般公共预算财政拨款基本支出决算情况说明</w:t>
      </w:r>
      <w:r>
        <w:rPr>
          <w:rStyle w:val="22"/>
          <w:rFonts w:hint="eastAsia" w:ascii="黑体" w:hAnsi="宋体" w:eastAsia="黑体"/>
          <w:b w:val="0"/>
        </w:rPr>
        <w:tab/>
      </w:r>
    </w:p>
    <w:p>
      <w:pPr>
        <w:spacing w:line="60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2022年一般公共预算财政拨款基本支出1065.47万元，其中：</w:t>
      </w:r>
    </w:p>
    <w:p>
      <w:pPr>
        <w:spacing w:line="60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930.81万元，主要包括：基本工资、津贴补贴、奖金、绩效工资、机关事业单位基本养老保险缴费、职业年金缴费、职工基本医疗保险缴费、其他社会保障缴费、住房公积金、其他工资福利支出、对个人和家庭生活补助等。</w:t>
      </w:r>
    </w:p>
    <w:p>
      <w:pPr>
        <w:spacing w:line="60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日常公用经费134.66万元，主要包括：办公费、印刷费、水费、电费、邮电费、差旅费、维修（护）费、会议费、公务接待费、其他交通费等。</w:t>
      </w:r>
    </w:p>
    <w:p>
      <w:pPr>
        <w:spacing w:line="600" w:lineRule="exact"/>
        <w:ind w:firstLine="640"/>
        <w:outlineLvl w:val="1"/>
        <w:rPr>
          <w:rFonts w:ascii="黑体" w:hAnsi="宋体" w:eastAsia="黑体" w:cs="Times New Roman"/>
          <w:bCs/>
          <w:sz w:val="32"/>
          <w:szCs w:val="32"/>
        </w:rPr>
      </w:pPr>
      <w:r>
        <w:rPr>
          <w:rFonts w:hint="eastAsia" w:ascii="黑体" w:hAnsi="宋体" w:eastAsia="黑体" w:cs="黑体"/>
          <w:color w:val="000000"/>
          <w:sz w:val="32"/>
          <w:szCs w:val="32"/>
        </w:rPr>
        <w:t>七、</w:t>
      </w:r>
      <w:r>
        <w:rPr>
          <w:rStyle w:val="22"/>
          <w:rFonts w:hint="eastAsia" w:ascii="黑体" w:hAnsi="宋体" w:eastAsia="黑体" w:cs="黑体"/>
        </w:rPr>
        <w:t>“</w:t>
      </w:r>
      <w:r>
        <w:rPr>
          <w:rStyle w:val="22"/>
          <w:rFonts w:hint="eastAsia" w:ascii="黑体" w:hAnsi="宋体" w:eastAsia="黑体" w:cs="黑体"/>
          <w:b w:val="0"/>
        </w:rPr>
        <w:t>三公”经费财政拨款支出决算情况说明</w:t>
      </w:r>
    </w:p>
    <w:p>
      <w:pPr>
        <w:spacing w:line="600" w:lineRule="exact"/>
        <w:ind w:firstLine="640"/>
        <w:outlineLvl w:val="2"/>
        <w:rPr>
          <w:rFonts w:ascii="仿宋" w:hAnsi="仿宋" w:eastAsia="仿宋" w:cs="Times New Roman"/>
          <w:b/>
          <w:color w:val="000000"/>
          <w:sz w:val="32"/>
          <w:szCs w:val="32"/>
        </w:rPr>
      </w:pPr>
      <w:r>
        <w:rPr>
          <w:rFonts w:hint="eastAsia" w:ascii="仿宋" w:hAnsi="仿宋" w:eastAsia="仿宋" w:cs="仿宋"/>
          <w:b/>
          <w:color w:val="000000"/>
          <w:sz w:val="32"/>
          <w:szCs w:val="32"/>
        </w:rPr>
        <w:t>（一）“三公”经费财政拨款支出决算总体情况说明</w:t>
      </w:r>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2022年“三公”经费财政拨款支出决算为16.01万元，完成预算100%,比上年减少4.19万元，主要落实省、市、区各级关于厉行节约措施。</w:t>
      </w:r>
    </w:p>
    <w:p>
      <w:pPr>
        <w:spacing w:line="600" w:lineRule="exact"/>
        <w:ind w:firstLine="640"/>
        <w:outlineLvl w:val="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（二）“三公”经费财政拨款支出决算具体情况说明</w:t>
      </w:r>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2022年“三公”经费财政拨款支出决算中，因公出国（境）费支出决算0万元，占0%；公务用车购置及运行维护费支出决算0万元，占0%；公务接待费支出决算16.01万元，占100%。具体情况如下：</w:t>
      </w:r>
    </w:p>
    <w:p>
      <w:pPr>
        <w:pStyle w:val="16"/>
        <w:rPr>
          <w:rFonts w:ascii="仿宋_GB2312" w:hAnsi="仿宋_GB2312" w:eastAsia="仿宋_GB2312" w:cs="仿宋_GB2312"/>
        </w:rPr>
      </w:pPr>
    </w:p>
    <w:p>
      <w:pPr>
        <w:pStyle w:val="16"/>
        <w:rPr>
          <w:rFonts w:ascii="仿宋_GB2312" w:hAnsi="仿宋_GB2312" w:eastAsia="仿宋_GB2312" w:cs="仿宋_GB2312"/>
          <w:color w:val="000000"/>
          <w:kern w:val="2"/>
          <w:sz w:val="32"/>
          <w:szCs w:val="32"/>
        </w:rPr>
      </w:pPr>
      <w:r>
        <w:rPr>
          <w:rFonts w:hint="eastAsia" w:ascii="仿宋_GB2312" w:hAnsi="仿宋_GB2312" w:eastAsia="仿宋_GB2312" w:cs="仿宋_GB2312"/>
        </w:rPr>
        <w:drawing>
          <wp:inline distT="0" distB="0" distL="114300" distR="114300">
            <wp:extent cx="5163820" cy="2915285"/>
            <wp:effectExtent l="4445" t="4445" r="13335" b="1397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560" w:lineRule="exact"/>
        <w:ind w:firstLine="1400" w:firstLineChars="500"/>
        <w:rPr>
          <w:rFonts w:ascii="仿宋_GB2312" w:hAnsi="仿宋_GB2312" w:eastAsia="仿宋_GB2312" w:cs="仿宋_GB2312"/>
          <w:color w:val="000000"/>
          <w:sz w:val="32"/>
          <w:szCs w:val="32"/>
        </w:rPr>
      </w:pPr>
      <w:r>
        <w:rPr>
          <w:rFonts w:hint="eastAsia" w:ascii="仿宋_GB2312" w:hAnsi="仿宋_GB2312" w:eastAsia="仿宋_GB2312" w:cs="仿宋_GB2312"/>
          <w:sz w:val="28"/>
          <w:szCs w:val="28"/>
        </w:rPr>
        <w:t>2022年“三公”经费财政拨款支出结构图</w:t>
      </w:r>
    </w:p>
    <w:p>
      <w:pPr>
        <w:numPr>
          <w:ilvl w:val="0"/>
          <w:numId w:val="2"/>
        </w:numPr>
        <w:spacing w:line="600" w:lineRule="exact"/>
        <w:ind w:firstLine="640"/>
        <w:rPr>
          <w:rStyle w:val="27"/>
          <w:rFonts w:ascii="仿宋_GB2312" w:hAnsi="仿宋_GB2312" w:eastAsia="仿宋_GB2312" w:cs="仿宋_GB2312"/>
          <w:b w:val="0"/>
          <w:bCs/>
          <w:color w:val="000000"/>
          <w:sz w:val="32"/>
          <w:szCs w:val="32"/>
        </w:rPr>
      </w:pPr>
      <w:r>
        <w:rPr>
          <w:rFonts w:hint="eastAsia" w:ascii="仿宋_GB2312" w:hAnsi="仿宋_GB2312" w:eastAsia="仿宋_GB2312" w:cs="仿宋_GB2312"/>
          <w:b/>
          <w:color w:val="000000"/>
          <w:sz w:val="32"/>
          <w:szCs w:val="32"/>
        </w:rPr>
        <w:t>因公出国（境）经费支出</w:t>
      </w:r>
      <w:r>
        <w:rPr>
          <w:rFonts w:hint="eastAsia" w:ascii="仿宋_GB2312" w:hAnsi="仿宋_GB2312" w:eastAsia="仿宋_GB2312" w:cs="仿宋_GB2312"/>
          <w:color w:val="000000"/>
          <w:sz w:val="32"/>
          <w:szCs w:val="32"/>
        </w:rPr>
        <w:t>0万元，年初未安排预算，与上年数无变化</w:t>
      </w:r>
      <w:r>
        <w:rPr>
          <w:rStyle w:val="27"/>
          <w:rFonts w:hint="eastAsia" w:ascii="仿宋_GB2312" w:hAnsi="仿宋_GB2312" w:eastAsia="仿宋_GB2312" w:cs="仿宋_GB2312"/>
          <w:b w:val="0"/>
          <w:bCs/>
          <w:color w:val="000000"/>
          <w:sz w:val="32"/>
          <w:szCs w:val="32"/>
        </w:rPr>
        <w:t>。</w:t>
      </w:r>
    </w:p>
    <w:p>
      <w:pPr>
        <w:spacing w:line="60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2.公务用车购置及运行维护费支出</w:t>
      </w:r>
      <w:r>
        <w:rPr>
          <w:rFonts w:hint="eastAsia" w:ascii="仿宋_GB2312" w:hAnsi="仿宋_GB2312" w:eastAsia="仿宋_GB2312" w:cs="仿宋_GB2312"/>
          <w:color w:val="000000"/>
          <w:sz w:val="32"/>
          <w:szCs w:val="32"/>
        </w:rPr>
        <w:t>0万元,年初未安排预算，与上年数无变化。</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b/>
          <w:color w:val="000000"/>
          <w:sz w:val="32"/>
          <w:szCs w:val="32"/>
        </w:rPr>
        <w:t>公务用车购置支出</w:t>
      </w:r>
      <w:r>
        <w:rPr>
          <w:rFonts w:hint="eastAsia" w:ascii="仿宋_GB2312" w:hAnsi="仿宋_GB2312" w:eastAsia="仿宋_GB2312" w:cs="仿宋_GB2312"/>
          <w:color w:val="000000"/>
          <w:sz w:val="32"/>
          <w:szCs w:val="32"/>
        </w:rPr>
        <w:t>0万元。全年按规定更新购置公务用车0辆，金额0元。截至2022年12月底，单位共有公务用车0辆，其中：主要领导干部用车0辆、机要通信用车0辆、应急保障用车0辆、 执法执勤用车0辆。</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公务用车运行维护费支出</w:t>
      </w:r>
      <w:r>
        <w:rPr>
          <w:rFonts w:hint="eastAsia" w:ascii="仿宋_GB2312" w:hAnsi="仿宋_GB2312" w:eastAsia="仿宋_GB2312" w:cs="仿宋_GB2312"/>
          <w:color w:val="000000"/>
          <w:sz w:val="32"/>
          <w:szCs w:val="32"/>
        </w:rPr>
        <w:t>0万元。</w:t>
      </w:r>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3.公务接待费支出16.01</w:t>
      </w:r>
      <w:r>
        <w:rPr>
          <w:rFonts w:hint="eastAsia" w:ascii="仿宋_GB2312" w:hAnsi="仿宋_GB2312" w:eastAsia="仿宋_GB2312" w:cs="仿宋_GB2312"/>
          <w:color w:val="000000"/>
          <w:sz w:val="32"/>
          <w:szCs w:val="32"/>
        </w:rPr>
        <w:t>万元，</w:t>
      </w:r>
      <w:r>
        <w:rPr>
          <w:rStyle w:val="27"/>
          <w:rFonts w:hint="eastAsia" w:ascii="仿宋_GB2312" w:hAnsi="仿宋_GB2312" w:eastAsia="仿宋_GB2312" w:cs="仿宋_GB2312"/>
          <w:b w:val="0"/>
          <w:bCs/>
          <w:color w:val="000000"/>
          <w:sz w:val="32"/>
          <w:szCs w:val="32"/>
        </w:rPr>
        <w:t>完成预算79.26%。</w:t>
      </w:r>
      <w:r>
        <w:rPr>
          <w:rFonts w:hint="eastAsia" w:ascii="仿宋_GB2312" w:hAnsi="仿宋_GB2312" w:eastAsia="仿宋_GB2312" w:cs="仿宋_GB2312"/>
          <w:color w:val="000000"/>
          <w:sz w:val="32"/>
          <w:szCs w:val="32"/>
        </w:rPr>
        <w:t>支出决算比上年减少4.19万元，下降20.74%。</w:t>
      </w:r>
      <w:r>
        <w:rPr>
          <w:rFonts w:hint="eastAsia" w:ascii="仿宋_GB2312" w:hAnsi="仿宋_GB2312" w:eastAsia="仿宋_GB2312" w:cs="仿宋_GB2312"/>
          <w:sz w:val="32"/>
          <w:szCs w:val="32"/>
        </w:rPr>
        <w:t>主要原因是按照党中央、国务院关于过“紧日子”和坚持厉行节约反对浪费的要求，进一步减少公务接待费支出。</w:t>
      </w:r>
    </w:p>
    <w:p>
      <w:pPr>
        <w:spacing w:line="600" w:lineRule="exact"/>
        <w:ind w:firstLine="640"/>
        <w:rPr>
          <w:rFonts w:ascii="仿宋_GB2312" w:hAnsi="Times New Roman" w:eastAsia="仿宋_GB2312" w:cs="Times New Roman"/>
          <w:color w:val="000000"/>
          <w:sz w:val="32"/>
          <w:szCs w:val="32"/>
        </w:rPr>
      </w:pPr>
      <w:r>
        <w:rPr>
          <w:rFonts w:hint="eastAsia" w:ascii="仿宋_GB2312" w:hAnsi="仿宋_GB2312" w:eastAsia="仿宋_GB2312" w:cs="仿宋_GB2312"/>
          <w:b/>
          <w:color w:val="000000"/>
          <w:sz w:val="32"/>
          <w:szCs w:val="32"/>
        </w:rPr>
        <w:t>国内公务接待支出16.01</w:t>
      </w:r>
      <w:r>
        <w:rPr>
          <w:rFonts w:hint="eastAsia" w:ascii="仿宋_GB2312" w:hAnsi="仿宋_GB2312" w:eastAsia="仿宋_GB2312" w:cs="仿宋_GB2312"/>
          <w:color w:val="000000"/>
          <w:sz w:val="32"/>
          <w:szCs w:val="32"/>
        </w:rPr>
        <w:t>万元，主要用于执行</w:t>
      </w:r>
      <w:r>
        <w:rPr>
          <w:rFonts w:ascii="仿宋_GB2312" w:hAnsi="Times New Roman" w:eastAsia="仿宋_GB2312" w:cs="仿宋_GB2312"/>
          <w:color w:val="000000"/>
          <w:sz w:val="32"/>
          <w:szCs w:val="32"/>
        </w:rPr>
        <w:t>公务、开展业务活动开支的交通费、住宿费、用餐费等。国内公务接待</w:t>
      </w:r>
      <w:r>
        <w:rPr>
          <w:rFonts w:hint="eastAsia" w:ascii="仿宋_GB2312" w:hAnsi="Times New Roman" w:eastAsia="仿宋_GB2312" w:cs="仿宋_GB2312"/>
          <w:color w:val="000000"/>
          <w:sz w:val="32"/>
          <w:szCs w:val="32"/>
        </w:rPr>
        <w:t>380</w:t>
      </w:r>
      <w:r>
        <w:rPr>
          <w:rFonts w:ascii="仿宋_GB2312" w:hAnsi="Times New Roman" w:eastAsia="仿宋_GB2312" w:cs="仿宋_GB2312"/>
          <w:color w:val="000000"/>
          <w:sz w:val="32"/>
          <w:szCs w:val="32"/>
        </w:rPr>
        <w:t>批次，</w:t>
      </w:r>
      <w:r>
        <w:rPr>
          <w:rFonts w:hint="eastAsia" w:ascii="仿宋_GB2312" w:hAnsi="Times New Roman" w:eastAsia="仿宋_GB2312" w:cs="仿宋_GB2312"/>
          <w:color w:val="000000"/>
          <w:sz w:val="32"/>
          <w:szCs w:val="32"/>
        </w:rPr>
        <w:t>277</w:t>
      </w:r>
      <w:r>
        <w:rPr>
          <w:rFonts w:ascii="仿宋_GB2312" w:hAnsi="Times New Roman" w:eastAsia="仿宋_GB2312" w:cs="仿宋_GB2312"/>
          <w:color w:val="000000"/>
          <w:sz w:val="32"/>
          <w:szCs w:val="32"/>
        </w:rPr>
        <w:t>0人次（不包括陪同人员），共计支出</w:t>
      </w:r>
      <w:r>
        <w:rPr>
          <w:rFonts w:hint="eastAsia" w:ascii="仿宋_GB2312" w:hAnsi="Times New Roman" w:eastAsia="仿宋_GB2312" w:cs="仿宋_GB2312"/>
          <w:color w:val="000000"/>
          <w:sz w:val="32"/>
          <w:szCs w:val="32"/>
        </w:rPr>
        <w:t>16.01</w:t>
      </w:r>
      <w:r>
        <w:rPr>
          <w:rFonts w:ascii="仿宋_GB2312" w:hAnsi="Times New Roman" w:eastAsia="仿宋_GB2312" w:cs="仿宋_GB2312"/>
          <w:color w:val="000000"/>
          <w:sz w:val="32"/>
          <w:szCs w:val="32"/>
        </w:rPr>
        <w:t>万元。</w:t>
      </w:r>
    </w:p>
    <w:p>
      <w:pPr>
        <w:spacing w:line="600" w:lineRule="exact"/>
        <w:ind w:firstLine="643" w:firstLineChars="200"/>
        <w:rPr>
          <w:rFonts w:ascii="仿宋_GB2312" w:hAnsi="Times New Roman" w:eastAsia="仿宋_GB2312" w:cs="Times New Roman"/>
          <w:color w:val="000000"/>
          <w:sz w:val="32"/>
          <w:szCs w:val="32"/>
        </w:rPr>
      </w:pPr>
      <w:r>
        <w:rPr>
          <w:rFonts w:hint="eastAsia" w:ascii="仿宋" w:hAnsi="仿宋" w:eastAsia="仿宋" w:cs="仿宋"/>
          <w:b/>
          <w:color w:val="000000"/>
          <w:sz w:val="32"/>
          <w:szCs w:val="32"/>
        </w:rPr>
        <w:t>外事接待支出</w:t>
      </w:r>
      <w:r>
        <w:rPr>
          <w:rFonts w:hint="eastAsia" w:ascii="仿宋" w:hAnsi="仿宋" w:eastAsia="仿宋" w:cs="仿宋"/>
          <w:color w:val="000000"/>
          <w:sz w:val="32"/>
          <w:szCs w:val="32"/>
        </w:rPr>
        <w:t>0</w:t>
      </w:r>
      <w:r>
        <w:rPr>
          <w:rFonts w:ascii="仿宋_GB2312" w:hAnsi="Times New Roman" w:eastAsia="仿宋_GB2312" w:cs="仿宋_GB2312"/>
          <w:color w:val="000000"/>
          <w:sz w:val="32"/>
          <w:szCs w:val="32"/>
        </w:rPr>
        <w:t>万元，外事接待0批次，0人，共计支出0万元。</w:t>
      </w:r>
    </w:p>
    <w:p>
      <w:pPr>
        <w:spacing w:line="600" w:lineRule="exact"/>
        <w:ind w:firstLine="640"/>
        <w:outlineLvl w:val="1"/>
        <w:rPr>
          <w:rFonts w:ascii="黑体" w:hAnsi="宋体" w:eastAsia="黑体" w:cs="Times New Roman"/>
          <w:b/>
          <w:bCs/>
          <w:sz w:val="32"/>
          <w:szCs w:val="32"/>
        </w:rPr>
      </w:pPr>
      <w:r>
        <w:rPr>
          <w:rFonts w:hint="eastAsia" w:ascii="黑体" w:hAnsi="Times New Roman" w:eastAsia="黑体" w:cs="Times New Roman"/>
          <w:color w:val="000000"/>
          <w:sz w:val="32"/>
          <w:szCs w:val="32"/>
        </w:rPr>
        <w:t xml:space="preserve"> </w:t>
      </w:r>
      <w:r>
        <w:rPr>
          <w:rFonts w:hint="eastAsia" w:ascii="黑体" w:hAnsi="宋体" w:eastAsia="黑体" w:cs="黑体"/>
          <w:color w:val="000000"/>
          <w:sz w:val="32"/>
          <w:szCs w:val="32"/>
        </w:rPr>
        <w:t>八、</w:t>
      </w:r>
      <w:r>
        <w:rPr>
          <w:rStyle w:val="22"/>
          <w:rFonts w:hint="eastAsia" w:ascii="黑体" w:hAnsi="宋体" w:eastAsia="黑体" w:cs="黑体"/>
          <w:b w:val="0"/>
        </w:rPr>
        <w:t>政府性基金预算支出决算情况说明</w:t>
      </w:r>
    </w:p>
    <w:p>
      <w:pPr>
        <w:spacing w:line="600" w:lineRule="exact"/>
        <w:ind w:firstLine="64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2022</w:t>
      </w:r>
      <w:r>
        <w:rPr>
          <w:rFonts w:ascii="仿宋_GB2312" w:hAnsi="Times New Roman" w:eastAsia="仿宋_GB2312" w:cs="仿宋_GB2312"/>
          <w:color w:val="000000"/>
          <w:sz w:val="32"/>
          <w:szCs w:val="32"/>
        </w:rPr>
        <w:t>年政府性基金预算拨款支出</w:t>
      </w:r>
      <w:r>
        <w:rPr>
          <w:rFonts w:hint="eastAsia" w:ascii="仿宋_GB2312" w:hAnsi="Times New Roman" w:eastAsia="仿宋_GB2312" w:cs="仿宋_GB2312"/>
          <w:color w:val="000000"/>
          <w:sz w:val="32"/>
          <w:szCs w:val="32"/>
        </w:rPr>
        <w:t>15.5</w:t>
      </w:r>
      <w:r>
        <w:rPr>
          <w:rFonts w:ascii="仿宋_GB2312" w:hAnsi="Times New Roman" w:eastAsia="仿宋_GB2312" w:cs="仿宋_GB2312"/>
          <w:color w:val="000000"/>
          <w:sz w:val="32"/>
          <w:szCs w:val="32"/>
        </w:rPr>
        <w:t>万元。</w:t>
      </w:r>
      <w:r>
        <w:rPr>
          <w:rFonts w:ascii="仿宋_GB2312" w:hAnsi="Times New Roman" w:eastAsia="仿宋_GB2312" w:cs="Times New Roman"/>
          <w:color w:val="000000"/>
          <w:sz w:val="32"/>
          <w:szCs w:val="32"/>
        </w:rPr>
        <w:t xml:space="preserve"> </w:t>
      </w:r>
    </w:p>
    <w:p>
      <w:pPr>
        <w:numPr>
          <w:ilvl w:val="0"/>
          <w:numId w:val="3"/>
        </w:numPr>
        <w:tabs>
          <w:tab w:val="left" w:pos="613"/>
        </w:tabs>
        <w:spacing w:line="600" w:lineRule="exact"/>
        <w:ind w:firstLine="640"/>
        <w:outlineLvl w:val="1"/>
        <w:rPr>
          <w:rFonts w:ascii="黑体" w:hAnsi="宋体" w:eastAsia="黑体" w:cs="Times New Roman"/>
          <w:bCs/>
          <w:sz w:val="32"/>
          <w:szCs w:val="32"/>
        </w:rPr>
      </w:pPr>
      <w:r>
        <w:rPr>
          <w:rStyle w:val="22"/>
          <w:rFonts w:hint="eastAsia" w:ascii="黑体" w:hAnsi="宋体" w:eastAsia="黑体" w:cs="黑体"/>
          <w:b w:val="0"/>
        </w:rPr>
        <w:t>国有资本经营预算支出决算情况说明</w:t>
      </w:r>
    </w:p>
    <w:p>
      <w:pPr>
        <w:spacing w:line="600" w:lineRule="exact"/>
        <w:ind w:firstLine="64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2022</w:t>
      </w:r>
      <w:r>
        <w:rPr>
          <w:rFonts w:ascii="仿宋_GB2312" w:hAnsi="Times New Roman" w:eastAsia="仿宋_GB2312" w:cs="仿宋_GB2312"/>
          <w:color w:val="000000"/>
          <w:sz w:val="32"/>
          <w:szCs w:val="32"/>
        </w:rPr>
        <w:t>年国有资本经营预算拨款支出0万元。</w:t>
      </w:r>
    </w:p>
    <w:p>
      <w:pPr>
        <w:spacing w:line="580" w:lineRule="exact"/>
        <w:ind w:firstLine="640" w:firstLineChars="200"/>
        <w:rPr>
          <w:rFonts w:ascii="黑体" w:hAnsi="宋体" w:eastAsia="黑体" w:cs="Times New Roman"/>
          <w:b/>
          <w:bCs/>
          <w:sz w:val="32"/>
          <w:szCs w:val="32"/>
        </w:rPr>
      </w:pPr>
      <w:r>
        <w:rPr>
          <w:rFonts w:hint="eastAsia" w:ascii="黑体" w:hAnsi="宋体" w:eastAsia="黑体" w:cs="黑体"/>
          <w:color w:val="000000"/>
          <w:sz w:val="32"/>
          <w:szCs w:val="32"/>
        </w:rPr>
        <w:t>十</w:t>
      </w:r>
      <w:r>
        <w:rPr>
          <w:rStyle w:val="22"/>
          <w:rFonts w:hint="eastAsia" w:ascii="黑体" w:hAnsi="宋体" w:eastAsia="黑体" w:cs="黑体"/>
        </w:rPr>
        <w:t>、</w:t>
      </w:r>
      <w:r>
        <w:rPr>
          <w:rStyle w:val="22"/>
          <w:rFonts w:hint="eastAsia" w:ascii="黑体" w:hAnsi="宋体" w:eastAsia="黑体" w:cs="黑体"/>
          <w:b w:val="0"/>
        </w:rPr>
        <w:t>其他重要事项的情况说明</w:t>
      </w:r>
    </w:p>
    <w:p>
      <w:pPr>
        <w:spacing w:line="600" w:lineRule="exact"/>
        <w:ind w:firstLine="643" w:firstLineChars="200"/>
        <w:outlineLvl w:val="2"/>
        <w:rPr>
          <w:rFonts w:ascii="仿宋" w:hAnsi="仿宋" w:eastAsia="仿宋" w:cs="Times New Roman"/>
          <w:color w:val="000000"/>
          <w:sz w:val="32"/>
          <w:szCs w:val="32"/>
        </w:rPr>
      </w:pPr>
      <w:r>
        <w:rPr>
          <w:rFonts w:hint="eastAsia" w:ascii="仿宋" w:hAnsi="仿宋" w:eastAsia="仿宋" w:cs="仿宋"/>
          <w:b/>
          <w:color w:val="000000"/>
          <w:sz w:val="32"/>
          <w:szCs w:val="32"/>
        </w:rPr>
        <w:t>（一）机关运行经费支出情况</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Times New Roman" w:eastAsia="仿宋_GB2312" w:cs="仿宋_GB2312"/>
          <w:color w:val="000000"/>
          <w:sz w:val="32"/>
          <w:szCs w:val="32"/>
        </w:rPr>
        <w:t>2022</w:t>
      </w:r>
      <w:r>
        <w:rPr>
          <w:rFonts w:ascii="仿宋_GB2312" w:hAnsi="Times New Roman" w:eastAsia="仿宋_GB2312" w:cs="仿宋_GB2312"/>
          <w:color w:val="000000"/>
          <w:sz w:val="32"/>
          <w:szCs w:val="32"/>
        </w:rPr>
        <w:t>年，广元市昭化区虎跳镇机关运行经费支出</w:t>
      </w:r>
      <w:r>
        <w:rPr>
          <w:rFonts w:hint="eastAsia" w:ascii="仿宋_GB2312" w:hAnsi="Times New Roman" w:eastAsia="仿宋_GB2312" w:cs="仿宋_GB2312"/>
          <w:color w:val="000000"/>
          <w:sz w:val="32"/>
          <w:szCs w:val="32"/>
        </w:rPr>
        <w:t>134.66万元</w:t>
      </w:r>
      <w:r>
        <w:rPr>
          <w:rFonts w:ascii="仿宋_GB2312" w:hAnsi="Times New Roman" w:eastAsia="仿宋_GB2312" w:cs="仿宋_GB2312"/>
          <w:color w:val="000000"/>
          <w:sz w:val="32"/>
          <w:szCs w:val="32"/>
        </w:rPr>
        <w:t>万元，比</w:t>
      </w:r>
      <w:r>
        <w:rPr>
          <w:rFonts w:hint="eastAsia" w:ascii="仿宋_GB2312" w:hAnsi="Times New Roman" w:eastAsia="仿宋_GB2312" w:cs="仿宋_GB2312"/>
          <w:color w:val="000000"/>
          <w:sz w:val="32"/>
          <w:szCs w:val="32"/>
        </w:rPr>
        <w:t>2021</w:t>
      </w:r>
      <w:r>
        <w:rPr>
          <w:rFonts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rPr>
        <w:t>减少121.67</w:t>
      </w:r>
      <w:r>
        <w:rPr>
          <w:rFonts w:ascii="仿宋_GB2312" w:hAnsi="Times New Roman" w:eastAsia="仿宋_GB2312" w:cs="仿宋_GB2312"/>
          <w:color w:val="000000"/>
          <w:sz w:val="32"/>
          <w:szCs w:val="32"/>
        </w:rPr>
        <w:t>万元，</w:t>
      </w:r>
      <w:r>
        <w:rPr>
          <w:rFonts w:hint="eastAsia" w:ascii="仿宋_GB2312" w:hAnsi="Times New Roman" w:eastAsia="仿宋_GB2312" w:cs="仿宋_GB2312"/>
          <w:color w:val="000000"/>
          <w:sz w:val="32"/>
          <w:szCs w:val="32"/>
        </w:rPr>
        <w:t>减少47.47</w:t>
      </w:r>
      <w:r>
        <w:rPr>
          <w:rFonts w:ascii="仿宋_GB2312" w:hAnsi="Times New Roman" w:eastAsia="仿宋_GB2312" w:cs="Times New Roman"/>
          <w:color w:val="000000"/>
          <w:sz w:val="32"/>
          <w:szCs w:val="32"/>
        </w:rPr>
        <w:t>%</w:t>
      </w:r>
      <w:r>
        <w:rPr>
          <w:rFonts w:ascii="仿宋_GB2312" w:hAnsi="Times New Roman" w:eastAsia="仿宋_GB2312" w:cs="仿宋_GB2312"/>
          <w:color w:val="000000"/>
          <w:sz w:val="32"/>
          <w:szCs w:val="32"/>
        </w:rPr>
        <w:t>。</w:t>
      </w:r>
      <w:r>
        <w:rPr>
          <w:rFonts w:hint="eastAsia" w:ascii="仿宋_GB2312" w:hAnsi="仿宋_GB2312" w:eastAsia="仿宋_GB2312" w:cs="仿宋_GB2312"/>
          <w:color w:val="000000"/>
          <w:sz w:val="32"/>
          <w:szCs w:val="32"/>
        </w:rPr>
        <w:t>主要落实省、市、区各级关于厉行节约措施。</w:t>
      </w:r>
    </w:p>
    <w:p>
      <w:pPr>
        <w:autoSpaceDE w:val="0"/>
        <w:autoSpaceDN w:val="0"/>
        <w:adjustRightInd w:val="0"/>
        <w:spacing w:line="600" w:lineRule="exact"/>
        <w:ind w:firstLine="643" w:firstLineChars="200"/>
        <w:jc w:val="left"/>
        <w:outlineLvl w:val="2"/>
        <w:rPr>
          <w:rFonts w:ascii="仿宋" w:hAnsi="仿宋" w:eastAsia="仿宋" w:cs="Times New Roman"/>
          <w:b/>
          <w:color w:val="000000"/>
          <w:sz w:val="32"/>
          <w:szCs w:val="32"/>
        </w:rPr>
      </w:pPr>
      <w:r>
        <w:rPr>
          <w:rFonts w:hint="eastAsia" w:ascii="仿宋" w:hAnsi="仿宋" w:eastAsia="仿宋" w:cs="仿宋"/>
          <w:b/>
          <w:color w:val="000000"/>
          <w:sz w:val="32"/>
          <w:szCs w:val="32"/>
        </w:rPr>
        <w:t>（二）政府采购支出情况</w:t>
      </w:r>
    </w:p>
    <w:p>
      <w:pPr>
        <w:spacing w:line="560" w:lineRule="exact"/>
        <w:ind w:firstLine="640" w:firstLineChars="200"/>
        <w:rPr>
          <w:rFonts w:ascii="仿宋_GB2312" w:eastAsia="仿宋_GB2312"/>
          <w:sz w:val="32"/>
          <w:szCs w:val="32"/>
        </w:rPr>
      </w:pPr>
      <w:r>
        <w:rPr>
          <w:rFonts w:hint="eastAsia" w:ascii="仿宋_GB2312" w:hAnsi="Times New Roman" w:eastAsia="仿宋_GB2312" w:cs="仿宋_GB2312"/>
          <w:color w:val="000000"/>
          <w:sz w:val="32"/>
          <w:szCs w:val="32"/>
        </w:rPr>
        <w:t>2022</w:t>
      </w:r>
      <w:r>
        <w:rPr>
          <w:rFonts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rPr>
        <w:t>虎跳</w:t>
      </w:r>
      <w:r>
        <w:rPr>
          <w:rFonts w:hint="eastAsia" w:ascii="仿宋_GB2312" w:eastAsia="仿宋_GB2312"/>
          <w:sz w:val="32"/>
          <w:szCs w:val="32"/>
        </w:rPr>
        <w:t>镇人民政府采购支出总额0万元，其中：政府采购货物支出0万元、政府采购工程支出0万元、政府采购服务支出0万元。授予中小企业合同金额0万元，占政府采购支出总额的0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cs="Times New Roman"/>
          <w:b/>
          <w:color w:val="FF0000"/>
          <w:sz w:val="32"/>
          <w:szCs w:val="32"/>
        </w:rPr>
      </w:pPr>
      <w:r>
        <w:rPr>
          <w:rFonts w:hint="eastAsia" w:ascii="仿宋" w:hAnsi="仿宋" w:eastAsia="仿宋" w:cs="仿宋"/>
          <w:b/>
          <w:color w:val="000000"/>
          <w:sz w:val="32"/>
          <w:szCs w:val="32"/>
        </w:rPr>
        <w:t>（三）国有资产占有使用情况</w:t>
      </w:r>
    </w:p>
    <w:p>
      <w:pPr>
        <w:autoSpaceDE w:val="0"/>
        <w:autoSpaceDN w:val="0"/>
        <w:adjustRightInd w:val="0"/>
        <w:spacing w:line="560" w:lineRule="exact"/>
        <w:ind w:firstLine="640" w:firstLineChars="200"/>
        <w:jc w:val="left"/>
        <w:rPr>
          <w:rFonts w:ascii="仿宋_GB2312" w:eastAsia="仿宋_GB2312" w:cs="仿宋_GB2312"/>
          <w:sz w:val="32"/>
          <w:szCs w:val="32"/>
        </w:rPr>
      </w:pPr>
      <w:r>
        <w:rPr>
          <w:rFonts w:ascii="仿宋_GB2312" w:hAnsi="Times New Roman" w:eastAsia="仿宋_GB2312" w:cs="仿宋_GB2312"/>
          <w:sz w:val="32"/>
          <w:szCs w:val="32"/>
        </w:rPr>
        <w:t xml:space="preserve"> </w:t>
      </w: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日，虎跳镇人民政府共有车辆0辆，其中：主要领导干部用车0辆、机要通信用车0辆、应急保障用车0辆、其他用车0辆，单价</w:t>
      </w:r>
      <w:r>
        <w:rPr>
          <w:rFonts w:ascii="仿宋_GB2312" w:eastAsia="仿宋_GB2312"/>
          <w:sz w:val="32"/>
          <w:szCs w:val="32"/>
        </w:rPr>
        <w:t>50</w:t>
      </w:r>
      <w:r>
        <w:rPr>
          <w:rFonts w:hint="eastAsia" w:ascii="仿宋_GB2312" w:eastAsia="仿宋_GB2312"/>
          <w:sz w:val="32"/>
          <w:szCs w:val="32"/>
        </w:rPr>
        <w:t>万元以上通用设备,0台（套），单价</w:t>
      </w:r>
      <w:r>
        <w:rPr>
          <w:rFonts w:ascii="仿宋_GB2312" w:eastAsia="仿宋_GB2312"/>
          <w:sz w:val="32"/>
          <w:szCs w:val="32"/>
        </w:rPr>
        <w:t>100</w:t>
      </w:r>
      <w:r>
        <w:rPr>
          <w:rFonts w:hint="eastAsia" w:ascii="仿宋_GB2312" w:eastAsia="仿宋_GB2312"/>
          <w:sz w:val="32"/>
          <w:szCs w:val="32"/>
        </w:rPr>
        <w:t>万元以上专用设备0台（套）。</w:t>
      </w:r>
    </w:p>
    <w:p>
      <w:pPr>
        <w:widowControl/>
        <w:shd w:val="clear" w:color="auto" w:fill="FFFFFF"/>
        <w:spacing w:line="572" w:lineRule="exact"/>
        <w:ind w:firstLine="480"/>
        <w:rPr>
          <w:rFonts w:ascii="黑体" w:hAnsi="黑体" w:eastAsia="黑体" w:cs="黑体"/>
          <w:kern w:val="0"/>
          <w:sz w:val="32"/>
          <w:szCs w:val="32"/>
          <w:shd w:val="clear" w:color="auto" w:fill="FFFFFF"/>
        </w:rPr>
      </w:pPr>
      <w:r>
        <w:rPr>
          <w:rFonts w:hint="eastAsia" w:ascii="楷体_GB2312" w:hAnsi="楷体_GB2312" w:eastAsia="楷体_GB2312" w:cs="楷体_GB2312"/>
          <w:kern w:val="0"/>
          <w:sz w:val="32"/>
          <w:szCs w:val="32"/>
          <w:shd w:val="clear" w:color="auto" w:fill="FFFFFF"/>
        </w:rPr>
        <w:t>（四）预算绩效情况说明</w:t>
      </w:r>
    </w:p>
    <w:p>
      <w:pPr>
        <w:spacing w:line="560" w:lineRule="exact"/>
        <w:ind w:firstLine="640" w:firstLineChars="200"/>
        <w:rPr>
          <w:rFonts w:ascii="仿宋_GB2312" w:hAnsi="仿宋_GB2312" w:eastAsia="仿宋_GB2312" w:cs="仿宋_GB2312"/>
        </w:rPr>
      </w:pPr>
      <w:r>
        <w:rPr>
          <w:rFonts w:hint="eastAsia" w:ascii="仿宋_GB2312" w:hAnsi="仿宋_GB2312" w:eastAsia="仿宋_GB2312" w:cs="仿宋_GB2312"/>
          <w:kern w:val="0"/>
          <w:sz w:val="32"/>
          <w:szCs w:val="32"/>
          <w:shd w:val="clear" w:color="auto" w:fill="FFFFFF"/>
        </w:rPr>
        <w:t>根据预算绩效管理要求，</w:t>
      </w:r>
      <w:r>
        <w:rPr>
          <w:rFonts w:hint="eastAsia" w:ascii="仿宋_GB2312" w:hAnsi="仿宋_GB2312" w:eastAsia="仿宋_GB2312" w:cs="仿宋_GB2312"/>
          <w:sz w:val="32"/>
          <w:szCs w:val="32"/>
        </w:rPr>
        <w:t>本单位在2022年度预算编制阶段，组织对基层组织活动和公共服务运行经费、丁家社区文化广场建设项目、南斗村农贸市场改造项目等开展了预算事前绩效评估，对部门整体和所有项目（政策）支出编制了绩效目标，预算执行过程中，选取该项目开展绩效监控，年终执行完毕后，对该项目开展了绩效目标完成情况自评，</w:t>
      </w:r>
      <w:r>
        <w:rPr>
          <w:rFonts w:hint="eastAsia" w:ascii="仿宋_GB2312" w:hAnsi="仿宋_GB2312" w:eastAsia="仿宋_GB2312" w:cs="仿宋_GB2312"/>
          <w:kern w:val="0"/>
          <w:sz w:val="32"/>
          <w:szCs w:val="32"/>
          <w:shd w:val="clear" w:color="auto" w:fill="FFFFFF"/>
        </w:rPr>
        <w:t>总体情况运行良好。</w:t>
      </w:r>
      <w:r>
        <w:rPr>
          <w:rFonts w:hint="eastAsia" w:ascii="仿宋_GB2312" w:hAnsi="仿宋_GB2312" w:eastAsia="仿宋_GB2312" w:cs="仿宋_GB2312"/>
          <w:sz w:val="32"/>
          <w:szCs w:val="32"/>
        </w:rPr>
        <w:t>2022年部门预算项目绩效目标自评详见附件（第四部分）。</w:t>
      </w:r>
    </w:p>
    <w:p>
      <w:pPr>
        <w:spacing w:line="600" w:lineRule="exact"/>
        <w:ind w:left="315" w:leftChars="150"/>
        <w:jc w:val="center"/>
        <w:outlineLvl w:val="0"/>
        <w:rPr>
          <w:rStyle w:val="24"/>
          <w:rFonts w:ascii="仿宋_GB2312" w:hAnsi="仿宋_GB2312" w:eastAsia="仿宋_GB2312" w:cs="仿宋_GB2312"/>
          <w:b w:val="0"/>
        </w:rPr>
      </w:pPr>
    </w:p>
    <w:p>
      <w:pPr>
        <w:spacing w:line="600" w:lineRule="exact"/>
        <w:ind w:left="315" w:leftChars="150"/>
        <w:jc w:val="center"/>
        <w:outlineLvl w:val="0"/>
        <w:rPr>
          <w:rStyle w:val="24"/>
          <w:rFonts w:ascii="黑体" w:hAnsi="宋体" w:eastAsia="黑体" w:cs="黑体"/>
          <w:b w:val="0"/>
        </w:rPr>
      </w:pPr>
    </w:p>
    <w:p>
      <w:pPr>
        <w:pStyle w:val="2"/>
        <w:ind w:firstLine="880"/>
        <w:rPr>
          <w:rStyle w:val="24"/>
          <w:rFonts w:ascii="黑体" w:hAnsi="宋体" w:eastAsia="黑体" w:cs="黑体"/>
          <w:b w:val="0"/>
        </w:rPr>
      </w:pPr>
    </w:p>
    <w:p>
      <w:pPr>
        <w:rPr>
          <w:rStyle w:val="24"/>
          <w:rFonts w:ascii="黑体" w:hAnsi="宋体" w:eastAsia="黑体" w:cs="黑体"/>
          <w:b w:val="0"/>
        </w:rPr>
      </w:pPr>
    </w:p>
    <w:p>
      <w:pPr>
        <w:pStyle w:val="2"/>
        <w:ind w:firstLine="880"/>
        <w:rPr>
          <w:rStyle w:val="24"/>
          <w:rFonts w:ascii="黑体" w:hAnsi="宋体" w:eastAsia="黑体" w:cs="黑体"/>
          <w:b w:val="0"/>
        </w:rPr>
      </w:pPr>
    </w:p>
    <w:p>
      <w:pPr>
        <w:rPr>
          <w:rStyle w:val="24"/>
          <w:rFonts w:ascii="黑体" w:hAnsi="宋体" w:eastAsia="黑体" w:cs="黑体"/>
          <w:b w:val="0"/>
        </w:rPr>
      </w:pPr>
    </w:p>
    <w:p>
      <w:pPr>
        <w:pStyle w:val="2"/>
        <w:ind w:firstLine="880"/>
        <w:rPr>
          <w:rStyle w:val="24"/>
          <w:rFonts w:ascii="黑体" w:hAnsi="宋体" w:eastAsia="黑体" w:cs="黑体"/>
          <w:b w:val="0"/>
        </w:rPr>
      </w:pPr>
    </w:p>
    <w:p>
      <w:pPr>
        <w:rPr>
          <w:rStyle w:val="24"/>
          <w:rFonts w:ascii="黑体" w:hAnsi="宋体" w:eastAsia="黑体" w:cs="黑体"/>
          <w:b w:val="0"/>
        </w:rPr>
      </w:pPr>
    </w:p>
    <w:p>
      <w:pPr>
        <w:pStyle w:val="2"/>
        <w:ind w:firstLine="880"/>
        <w:rPr>
          <w:rStyle w:val="24"/>
          <w:rFonts w:ascii="黑体" w:hAnsi="宋体" w:eastAsia="黑体" w:cs="黑体"/>
          <w:b w:val="0"/>
        </w:rPr>
      </w:pPr>
    </w:p>
    <w:p>
      <w:pPr>
        <w:rPr>
          <w:rStyle w:val="24"/>
          <w:rFonts w:ascii="黑体" w:hAnsi="宋体" w:eastAsia="黑体" w:cs="黑体"/>
          <w:b w:val="0"/>
        </w:rPr>
      </w:pPr>
    </w:p>
    <w:p>
      <w:pPr>
        <w:pStyle w:val="2"/>
        <w:ind w:firstLine="880"/>
        <w:rPr>
          <w:rStyle w:val="24"/>
          <w:rFonts w:ascii="黑体" w:hAnsi="宋体" w:eastAsia="黑体" w:cs="黑体"/>
          <w:b w:val="0"/>
        </w:rPr>
      </w:pPr>
    </w:p>
    <w:p/>
    <w:p>
      <w:pPr>
        <w:spacing w:line="600" w:lineRule="exact"/>
        <w:ind w:left="315" w:leftChars="150"/>
        <w:jc w:val="center"/>
        <w:outlineLvl w:val="0"/>
        <w:rPr>
          <w:rFonts w:ascii="仿宋_GB2312" w:hAnsi="Calibri" w:eastAsia="仿宋_GB2312" w:cs="仿宋"/>
          <w:color w:val="000000"/>
          <w:sz w:val="32"/>
          <w:szCs w:val="32"/>
        </w:rPr>
      </w:pPr>
      <w:r>
        <w:rPr>
          <w:rStyle w:val="24"/>
          <w:rFonts w:hint="eastAsia" w:ascii="黑体" w:hAnsi="宋体" w:eastAsia="黑体" w:cs="黑体"/>
          <w:b w:val="0"/>
        </w:rPr>
        <w:t>第三部分 名词解释</w:t>
      </w:r>
    </w:p>
    <w:p>
      <w:pPr>
        <w:pStyle w:val="23"/>
        <w:widowControl/>
        <w:spacing w:line="560" w:lineRule="exact"/>
        <w:ind w:firstLine="640" w:firstLineChars="200"/>
        <w:rPr>
          <w:rFonts w:hint="default" w:ascii="仿宋_GB2312" w:eastAsia="仿宋_GB2312" w:cs="仿宋"/>
          <w:sz w:val="32"/>
          <w:szCs w:val="32"/>
        </w:rPr>
      </w:pPr>
      <w:r>
        <w:rPr>
          <w:rFonts w:hint="default" w:ascii="仿宋_GB2312" w:eastAsia="仿宋_GB2312" w:cs="仿宋"/>
          <w:sz w:val="32"/>
          <w:szCs w:val="32"/>
        </w:rPr>
        <w:t>1.</w:t>
      </w:r>
      <w:r>
        <w:rPr>
          <w:rFonts w:hint="default" w:ascii="仿宋_GB2312" w:eastAsia="仿宋_GB2312" w:cs="仿宋_GB2312"/>
          <w:sz w:val="32"/>
          <w:szCs w:val="32"/>
        </w:rPr>
        <w:t>财政拨款收入：指单位从同级财政部门取得的财政预算资金。</w:t>
      </w:r>
    </w:p>
    <w:p>
      <w:pPr>
        <w:pStyle w:val="23"/>
        <w:widowControl/>
        <w:spacing w:line="560" w:lineRule="exact"/>
        <w:ind w:firstLine="640" w:firstLineChars="200"/>
        <w:rPr>
          <w:rFonts w:hint="default" w:ascii="仿宋_GB2312" w:eastAsia="仿宋_GB2312" w:cs="仿宋"/>
          <w:sz w:val="32"/>
          <w:szCs w:val="32"/>
        </w:rPr>
      </w:pPr>
      <w:r>
        <w:rPr>
          <w:rFonts w:hint="default" w:ascii="仿宋_GB2312" w:eastAsia="仿宋_GB2312" w:cs="仿宋"/>
          <w:sz w:val="32"/>
          <w:szCs w:val="32"/>
        </w:rPr>
        <w:t>2.</w:t>
      </w:r>
      <w:r>
        <w:rPr>
          <w:rFonts w:hint="default" w:ascii="仿宋_GB2312" w:eastAsia="仿宋_GB2312" w:cs="仿宋_GB2312"/>
          <w:sz w:val="32"/>
          <w:szCs w:val="32"/>
        </w:rPr>
        <w:t>事业收入：指事业单位开展专业业务活动及辅助活动取得的收入。</w:t>
      </w:r>
    </w:p>
    <w:p>
      <w:pPr>
        <w:pStyle w:val="23"/>
        <w:widowControl/>
        <w:spacing w:line="560" w:lineRule="exact"/>
        <w:ind w:firstLine="640" w:firstLineChars="200"/>
        <w:rPr>
          <w:rFonts w:hint="default" w:ascii="仿宋_GB2312" w:eastAsia="仿宋_GB2312" w:cs="仿宋"/>
          <w:sz w:val="32"/>
          <w:szCs w:val="32"/>
        </w:rPr>
      </w:pPr>
      <w:r>
        <w:rPr>
          <w:rFonts w:hint="default" w:ascii="仿宋_GB2312" w:eastAsia="仿宋_GB2312" w:cs="仿宋"/>
          <w:sz w:val="32"/>
          <w:szCs w:val="32"/>
        </w:rPr>
        <w:t>3.</w:t>
      </w:r>
      <w:r>
        <w:rPr>
          <w:rFonts w:hint="default" w:ascii="仿宋_GB2312" w:eastAsia="仿宋_GB2312" w:cs="仿宋_GB2312"/>
          <w:sz w:val="32"/>
          <w:szCs w:val="32"/>
        </w:rPr>
        <w:t>经营收入：指事业单位在专业业务活动及其辅助活动之外开展非独立核算经营活动取得的收入。</w:t>
      </w:r>
    </w:p>
    <w:p>
      <w:pPr>
        <w:pStyle w:val="23"/>
        <w:widowControl/>
        <w:spacing w:line="560" w:lineRule="exact"/>
        <w:ind w:firstLine="640" w:firstLineChars="200"/>
        <w:rPr>
          <w:rFonts w:hint="default" w:ascii="仿宋_GB2312" w:eastAsia="仿宋_GB2312" w:cs="仿宋"/>
          <w:sz w:val="32"/>
          <w:szCs w:val="32"/>
        </w:rPr>
      </w:pPr>
      <w:r>
        <w:rPr>
          <w:rFonts w:hint="default" w:ascii="仿宋_GB2312" w:eastAsia="仿宋_GB2312" w:cs="仿宋"/>
          <w:sz w:val="32"/>
          <w:szCs w:val="32"/>
        </w:rPr>
        <w:t>4.</w:t>
      </w:r>
      <w:r>
        <w:rPr>
          <w:rFonts w:hint="default" w:ascii="仿宋_GB2312" w:eastAsia="仿宋_GB2312" w:cs="仿宋_GB2312"/>
          <w:sz w:val="32"/>
          <w:szCs w:val="32"/>
        </w:rPr>
        <w:t>其他收入：指单位取得的除上述收入以外的各项收入。</w:t>
      </w:r>
      <w:r>
        <w:rPr>
          <w:rFonts w:hint="default" w:ascii="仿宋_GB2312" w:eastAsia="仿宋_GB2312" w:cs="仿宋"/>
          <w:sz w:val="32"/>
          <w:szCs w:val="32"/>
        </w:rPr>
        <w:t xml:space="preserve"> </w:t>
      </w:r>
    </w:p>
    <w:p>
      <w:pPr>
        <w:pStyle w:val="23"/>
        <w:widowControl/>
        <w:spacing w:line="560" w:lineRule="exact"/>
        <w:ind w:firstLine="640" w:firstLineChars="200"/>
        <w:rPr>
          <w:rFonts w:hint="default" w:ascii="仿宋_GB2312" w:eastAsia="仿宋_GB2312" w:cs="仿宋"/>
          <w:sz w:val="32"/>
          <w:szCs w:val="32"/>
        </w:rPr>
      </w:pPr>
      <w:r>
        <w:rPr>
          <w:rFonts w:hint="default" w:ascii="仿宋_GB2312" w:eastAsia="仿宋_GB2312" w:cs="仿宋"/>
          <w:sz w:val="32"/>
          <w:szCs w:val="32"/>
        </w:rPr>
        <w:t>5.</w:t>
      </w:r>
      <w:r>
        <w:rPr>
          <w:rFonts w:hint="default" w:ascii="仿宋_GB2312" w:eastAsia="仿宋_GB2312" w:cs="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default" w:ascii="仿宋_GB2312" w:eastAsia="仿宋_GB2312" w:cs="仿宋"/>
          <w:sz w:val="32"/>
          <w:szCs w:val="32"/>
        </w:rPr>
        <w:t xml:space="preserve"> </w:t>
      </w:r>
    </w:p>
    <w:p>
      <w:pPr>
        <w:pStyle w:val="23"/>
        <w:widowControl/>
        <w:spacing w:line="560" w:lineRule="exact"/>
        <w:ind w:firstLine="640" w:firstLineChars="200"/>
        <w:rPr>
          <w:rFonts w:hint="default" w:ascii="仿宋_GB2312" w:eastAsia="仿宋_GB2312" w:cs="仿宋"/>
          <w:sz w:val="32"/>
          <w:szCs w:val="32"/>
        </w:rPr>
      </w:pPr>
      <w:r>
        <w:rPr>
          <w:rFonts w:hint="default" w:ascii="仿宋_GB2312" w:eastAsia="仿宋_GB2312" w:cs="仿宋"/>
          <w:sz w:val="32"/>
          <w:szCs w:val="32"/>
        </w:rPr>
        <w:t>6.</w:t>
      </w:r>
      <w:r>
        <w:rPr>
          <w:rFonts w:hint="default" w:ascii="仿宋_GB2312" w:eastAsia="仿宋_GB2312" w:cs="仿宋_GB2312"/>
          <w:sz w:val="32"/>
          <w:szCs w:val="32"/>
        </w:rPr>
        <w:t>年初结转和结余：指以前年度尚未完成、结转到本年按有关规定继续使用的资金。</w:t>
      </w:r>
      <w:r>
        <w:rPr>
          <w:rFonts w:hint="default" w:ascii="仿宋_GB2312" w:eastAsia="仿宋_GB2312" w:cs="仿宋"/>
          <w:sz w:val="32"/>
          <w:szCs w:val="32"/>
        </w:rPr>
        <w:t xml:space="preserve"> </w:t>
      </w:r>
    </w:p>
    <w:p>
      <w:pPr>
        <w:pStyle w:val="23"/>
        <w:widowControl/>
        <w:spacing w:line="560" w:lineRule="exact"/>
        <w:ind w:firstLine="640" w:firstLineChars="200"/>
        <w:rPr>
          <w:rFonts w:hint="default" w:ascii="仿宋_GB2312" w:eastAsia="仿宋_GB2312" w:cs="仿宋"/>
          <w:sz w:val="32"/>
          <w:szCs w:val="32"/>
        </w:rPr>
      </w:pPr>
      <w:r>
        <w:rPr>
          <w:rFonts w:hint="default" w:ascii="仿宋_GB2312" w:eastAsia="仿宋_GB2312" w:cs="仿宋"/>
          <w:sz w:val="32"/>
          <w:szCs w:val="32"/>
        </w:rPr>
        <w:t>7.</w:t>
      </w:r>
      <w:r>
        <w:rPr>
          <w:rFonts w:hint="default" w:ascii="仿宋_GB2312" w:eastAsia="仿宋_GB2312" w:cs="仿宋_GB2312"/>
          <w:sz w:val="32"/>
          <w:szCs w:val="32"/>
        </w:rPr>
        <w:t>结余分配：指事业单位按照事业单位会计制度的规定从非财政补助结余中分配的事业基金和职工福利基金等。</w:t>
      </w:r>
    </w:p>
    <w:p>
      <w:pPr>
        <w:pStyle w:val="23"/>
        <w:widowControl/>
        <w:spacing w:line="560" w:lineRule="exact"/>
        <w:ind w:firstLine="640" w:firstLineChars="200"/>
        <w:rPr>
          <w:rFonts w:hint="default" w:ascii="仿宋_GB2312" w:eastAsia="仿宋_GB2312" w:cs="仿宋"/>
          <w:sz w:val="32"/>
          <w:szCs w:val="32"/>
        </w:rPr>
      </w:pPr>
      <w:r>
        <w:rPr>
          <w:rFonts w:hint="default" w:ascii="仿宋_GB2312" w:eastAsia="仿宋_GB2312" w:cs="仿宋"/>
          <w:sz w:val="32"/>
          <w:szCs w:val="32"/>
        </w:rPr>
        <w:t>8</w:t>
      </w:r>
      <w:r>
        <w:rPr>
          <w:rFonts w:hint="default" w:ascii="仿宋_GB2312" w:eastAsia="仿宋_GB2312" w:cs="仿宋_GB2312"/>
          <w:sz w:val="32"/>
          <w:szCs w:val="32"/>
        </w:rPr>
        <w:t>、年末结转和结余：指单位按有关规定结转到下年或以后年度继续使用的资金。</w:t>
      </w:r>
    </w:p>
    <w:p>
      <w:pPr>
        <w:spacing w:line="560" w:lineRule="exact"/>
        <w:ind w:firstLine="640" w:firstLineChars="200"/>
        <w:rPr>
          <w:rFonts w:ascii="仿宋_GB2312" w:hAnsi="Calibri" w:eastAsia="仿宋_GB2312" w:cs="仿宋"/>
          <w:kern w:val="0"/>
          <w:sz w:val="32"/>
          <w:szCs w:val="32"/>
        </w:rPr>
      </w:pPr>
      <w:r>
        <w:rPr>
          <w:rFonts w:hint="eastAsia" w:ascii="仿宋_GB2312" w:hAnsi="Calibri" w:eastAsia="仿宋_GB2312" w:cs="仿宋"/>
          <w:kern w:val="0"/>
          <w:sz w:val="32"/>
          <w:szCs w:val="32"/>
        </w:rPr>
        <w:t>9.一般公共服务（类）政府办公厅（室）及相关机构事务（款）行政运行（项）：指</w:t>
      </w:r>
      <w:r>
        <w:rPr>
          <w:rFonts w:ascii="仿宋_GB2312" w:hAnsi="Calibri" w:eastAsia="仿宋_GB2312" w:cs="仿宋"/>
          <w:kern w:val="0"/>
          <w:sz w:val="32"/>
          <w:szCs w:val="32"/>
        </w:rPr>
        <w:t>用于保障机构正常运行、开展日常工作的基本支出</w:t>
      </w:r>
      <w:r>
        <w:rPr>
          <w:rFonts w:hint="eastAsia" w:ascii="仿宋_GB2312" w:hAnsi="Calibri" w:eastAsia="仿宋_GB2312" w:cs="仿宋"/>
          <w:kern w:val="0"/>
          <w:sz w:val="32"/>
          <w:szCs w:val="32"/>
        </w:rPr>
        <w:t>。</w:t>
      </w:r>
      <w:r>
        <w:rPr>
          <w:rFonts w:hint="eastAsia" w:ascii="仿宋_GB2312" w:hAnsi="Calibri" w:eastAsia="仿宋_GB2312" w:cs="仿宋"/>
          <w:kern w:val="0"/>
          <w:sz w:val="32"/>
          <w:szCs w:val="32"/>
        </w:rPr>
        <w:br w:type="textWrapping"/>
      </w:r>
      <w:r>
        <w:rPr>
          <w:rFonts w:hint="eastAsia" w:ascii="仿宋_GB2312" w:hAnsi="Calibri" w:eastAsia="仿宋_GB2312" w:cs="仿宋"/>
          <w:kern w:val="0"/>
          <w:sz w:val="32"/>
          <w:szCs w:val="32"/>
        </w:rPr>
        <w:t>　  10.国防支出（类）其他国防支出（款）其他国防支出（项）：指反映政府用于国防方面的支出。</w:t>
      </w:r>
    </w:p>
    <w:p>
      <w:pPr>
        <w:widowControl/>
        <w:shd w:val="clear" w:color="auto" w:fill="FFFFFF"/>
        <w:spacing w:line="560" w:lineRule="exact"/>
        <w:ind w:firstLine="640" w:firstLineChars="200"/>
        <w:rPr>
          <w:rFonts w:ascii="仿宋_GB2312" w:hAnsi="Times New Roman"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11.</w:t>
      </w:r>
      <w:r>
        <w:rPr>
          <w:rFonts w:hint="eastAsia" w:ascii="仿宋_GB2312" w:hAnsi="Times New Roman" w:eastAsia="仿宋_GB2312" w:cs="仿宋_GB2312"/>
          <w:color w:val="333333"/>
          <w:kern w:val="0"/>
          <w:sz w:val="32"/>
          <w:szCs w:val="32"/>
          <w:shd w:val="clear" w:color="auto" w:fill="FFFFFF"/>
        </w:rPr>
        <w:t>文化旅游体育与传媒支出（类）文化和旅游（款）群众文化（项）：指反映群众文化方面的支出，包括基层文化馆（站）、群众艺术馆支出等。</w:t>
      </w:r>
    </w:p>
    <w:p>
      <w:pPr>
        <w:widowControl/>
        <w:shd w:val="clear" w:color="auto" w:fill="FFFFFF"/>
        <w:spacing w:line="560" w:lineRule="exact"/>
        <w:ind w:firstLine="640" w:firstLineChars="200"/>
        <w:rPr>
          <w:rFonts w:ascii="仿宋_GB2312" w:hAnsi="Times New Roman"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12.</w:t>
      </w:r>
      <w:r>
        <w:rPr>
          <w:rFonts w:hint="eastAsia" w:ascii="仿宋_GB2312" w:hAnsi="Times New Roman" w:eastAsia="仿宋_GB2312" w:cs="仿宋_GB2312"/>
          <w:color w:val="333333"/>
          <w:kern w:val="0"/>
          <w:sz w:val="32"/>
          <w:szCs w:val="32"/>
          <w:shd w:val="clear" w:color="auto" w:fill="FFFFFF"/>
        </w:rPr>
        <w:t>社会保障和就业（类）行政事业单位养老支出（款）行政单位离退休（项）：指行政及参公管理事业单位离退休人员的支出。</w:t>
      </w:r>
      <w:r>
        <w:rPr>
          <w:rFonts w:hint="eastAsia" w:ascii="仿宋_GB2312" w:hAnsi="Times New Roman" w:eastAsia="仿宋_GB2312" w:cs="仿宋_GB2312"/>
          <w:color w:val="333333"/>
          <w:kern w:val="0"/>
          <w:sz w:val="32"/>
          <w:szCs w:val="32"/>
          <w:shd w:val="clear" w:color="auto" w:fill="FFFFFF"/>
        </w:rPr>
        <w:br w:type="textWrapping"/>
      </w:r>
      <w:r>
        <w:rPr>
          <w:rFonts w:hint="eastAsia" w:ascii="仿宋_GB2312" w:eastAsia="仿宋_GB2312" w:cs="仿宋_GB2312"/>
          <w:color w:val="333333"/>
          <w:kern w:val="0"/>
          <w:sz w:val="32"/>
          <w:szCs w:val="32"/>
          <w:shd w:val="clear" w:color="auto" w:fill="FFFFFF"/>
        </w:rPr>
        <w:t xml:space="preserve">    13.社会保障和就业（类）行政事业单位养老支出（款）机关事业单位基本养老保险缴费支出（项）：指部门实施养老保险制度由单位缴纳的养老保险的支出。</w:t>
      </w:r>
    </w:p>
    <w:p>
      <w:pPr>
        <w:widowControl/>
        <w:shd w:val="clear" w:color="auto" w:fill="FFFFFF"/>
        <w:spacing w:line="560" w:lineRule="exact"/>
        <w:ind w:firstLine="640" w:firstLineChars="200"/>
        <w:rPr>
          <w:rFonts w:ascii="仿宋_GB2312" w:hAnsi="Times New Roman"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14.</w:t>
      </w:r>
      <w:r>
        <w:rPr>
          <w:rFonts w:hint="eastAsia" w:ascii="仿宋_GB2312" w:hAnsi="Times New Roman" w:eastAsia="仿宋_GB2312" w:cs="仿宋_GB2312"/>
          <w:color w:val="333333"/>
          <w:kern w:val="0"/>
          <w:sz w:val="32"/>
          <w:szCs w:val="32"/>
          <w:shd w:val="clear" w:color="auto" w:fill="FFFFFF"/>
        </w:rPr>
        <w:t>卫生健康（类）计划生育事务（款）其他计划生育事务支出（项）：指用于计划生育管理事务方面的支出。</w:t>
      </w:r>
      <w:r>
        <w:rPr>
          <w:rFonts w:hint="eastAsia" w:ascii="仿宋_GB2312" w:hAnsi="Times New Roman" w:eastAsia="仿宋_GB2312" w:cs="仿宋_GB2312"/>
          <w:color w:val="333333"/>
          <w:kern w:val="0"/>
          <w:sz w:val="32"/>
          <w:szCs w:val="32"/>
          <w:shd w:val="clear" w:color="auto" w:fill="FFFFFF"/>
        </w:rPr>
        <w:br w:type="textWrapping"/>
      </w:r>
      <w:r>
        <w:rPr>
          <w:rFonts w:hint="eastAsia" w:ascii="仿宋_GB2312" w:hAnsi="Times New Roman" w:eastAsia="仿宋_GB2312" w:cs="仿宋_GB2312"/>
          <w:color w:val="333333"/>
          <w:kern w:val="0"/>
          <w:sz w:val="32"/>
          <w:szCs w:val="32"/>
          <w:shd w:val="clear" w:color="auto" w:fill="FFFFFF"/>
        </w:rPr>
        <w:t>　　</w:t>
      </w:r>
      <w:r>
        <w:rPr>
          <w:rFonts w:hint="eastAsia" w:ascii="仿宋_GB2312" w:eastAsia="仿宋_GB2312" w:cs="仿宋_GB2312"/>
          <w:color w:val="333333"/>
          <w:kern w:val="0"/>
          <w:sz w:val="32"/>
          <w:szCs w:val="32"/>
          <w:shd w:val="clear" w:color="auto" w:fill="FFFFFF"/>
        </w:rPr>
        <w:t>15.</w:t>
      </w:r>
      <w:r>
        <w:rPr>
          <w:rFonts w:hint="eastAsia" w:ascii="仿宋_GB2312" w:hAnsi="Times New Roman" w:eastAsia="仿宋_GB2312" w:cs="仿宋_GB2312"/>
          <w:color w:val="333333"/>
          <w:kern w:val="0"/>
          <w:sz w:val="32"/>
          <w:szCs w:val="32"/>
          <w:shd w:val="clear" w:color="auto" w:fill="FFFFFF"/>
        </w:rPr>
        <w:t>卫生健康（类）行政事业单位医疗（款）行政单位医疗（项）：指机关及参公管理事业单位用于单位应缴纳基本医疗保险支出。</w:t>
      </w:r>
      <w:r>
        <w:rPr>
          <w:rFonts w:hint="eastAsia" w:ascii="仿宋_GB2312" w:hAnsi="Times New Roman" w:eastAsia="仿宋_GB2312" w:cs="仿宋_GB2312"/>
          <w:color w:val="333333"/>
          <w:kern w:val="0"/>
          <w:sz w:val="32"/>
          <w:szCs w:val="32"/>
          <w:shd w:val="clear" w:color="auto" w:fill="FFFFFF"/>
        </w:rPr>
        <w:br w:type="textWrapping"/>
      </w:r>
      <w:r>
        <w:rPr>
          <w:rFonts w:hint="eastAsia" w:ascii="仿宋_GB2312" w:hAnsi="Times New Roman" w:eastAsia="仿宋_GB2312" w:cs="仿宋_GB2312"/>
          <w:color w:val="333333"/>
          <w:kern w:val="0"/>
          <w:sz w:val="32"/>
          <w:szCs w:val="32"/>
          <w:shd w:val="clear" w:color="auto" w:fill="FFFFFF"/>
        </w:rPr>
        <w:t>　　16</w:t>
      </w:r>
      <w:r>
        <w:rPr>
          <w:rFonts w:hint="eastAsia" w:ascii="仿宋_GB2312" w:eastAsia="仿宋_GB2312" w:cs="仿宋_GB2312"/>
          <w:color w:val="333333"/>
          <w:kern w:val="0"/>
          <w:sz w:val="32"/>
          <w:szCs w:val="32"/>
          <w:shd w:val="clear" w:color="auto" w:fill="FFFFFF"/>
        </w:rPr>
        <w:t>.</w:t>
      </w:r>
      <w:r>
        <w:rPr>
          <w:rFonts w:hint="eastAsia" w:ascii="仿宋_GB2312" w:hAnsi="Times New Roman" w:eastAsia="仿宋_GB2312" w:cs="仿宋_GB2312"/>
          <w:color w:val="333333"/>
          <w:kern w:val="0"/>
          <w:sz w:val="32"/>
          <w:szCs w:val="32"/>
          <w:shd w:val="clear" w:color="auto" w:fill="FFFFFF"/>
        </w:rPr>
        <w:t>卫生健康（类）行政事业单位医疗（款）事业单位医疗（项）：指事业单位用于单位应缴纳基本医疗保险支出。</w:t>
      </w:r>
    </w:p>
    <w:p>
      <w:pPr>
        <w:pStyle w:val="2"/>
        <w:spacing w:after="0" w:line="560" w:lineRule="exact"/>
        <w:ind w:left="0" w:leftChars="0" w:firstLine="640"/>
        <w:rPr>
          <w:rFonts w:ascii="仿宋_GB2312" w:hAnsi="Times New Roman"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17.</w:t>
      </w:r>
      <w:r>
        <w:rPr>
          <w:rFonts w:hint="eastAsia" w:ascii="仿宋_GB2312" w:hAnsi="Times New Roman" w:eastAsia="仿宋_GB2312" w:cs="仿宋_GB2312"/>
          <w:color w:val="333333"/>
          <w:kern w:val="0"/>
          <w:sz w:val="32"/>
          <w:szCs w:val="32"/>
          <w:shd w:val="clear" w:color="auto" w:fill="FFFFFF"/>
        </w:rPr>
        <w:t>城乡社区支出（类）城乡社区环境卫生（款）城乡社区环境卫生（项）：指用于城乡社区道路清扫、垃圾清运与处理、公厕建设与维护、园林绿化等方面的支出。</w:t>
      </w:r>
    </w:p>
    <w:p>
      <w:pPr>
        <w:spacing w:line="560" w:lineRule="exact"/>
        <w:ind w:firstLine="640" w:firstLineChars="200"/>
        <w:rPr>
          <w:rFonts w:ascii="仿宋_GB2312" w:hAnsi="Times New Roman"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18.</w:t>
      </w:r>
      <w:r>
        <w:rPr>
          <w:rFonts w:hint="eastAsia" w:ascii="仿宋_GB2312" w:hAnsi="Times New Roman" w:eastAsia="仿宋_GB2312" w:cs="仿宋_GB2312"/>
          <w:color w:val="333333"/>
          <w:kern w:val="0"/>
          <w:sz w:val="32"/>
          <w:szCs w:val="32"/>
          <w:shd w:val="clear" w:color="auto" w:fill="FFFFFF"/>
        </w:rPr>
        <w:t>农林水支出（类）农业农村（款）农村道路建设（项）：指用于农村公路、乡村道路建设方面的支出。</w:t>
      </w:r>
    </w:p>
    <w:p>
      <w:pPr>
        <w:pStyle w:val="2"/>
        <w:spacing w:after="0" w:line="560" w:lineRule="exact"/>
        <w:ind w:left="0" w:leftChars="0" w:firstLine="640"/>
        <w:rPr>
          <w:rFonts w:ascii="仿宋_GB2312" w:hAnsi="Times New Roman" w:eastAsia="仿宋_GB2312" w:cs="仿宋_GB2312"/>
          <w:color w:val="333333"/>
          <w:kern w:val="0"/>
          <w:sz w:val="32"/>
          <w:szCs w:val="32"/>
          <w:shd w:val="clear" w:color="auto" w:fill="FFFFFF"/>
        </w:rPr>
      </w:pPr>
      <w:r>
        <w:rPr>
          <w:rFonts w:hint="eastAsia" w:ascii="仿宋_GB2312" w:eastAsia="仿宋_GB2312" w:cs="仿宋_GB2312"/>
          <w:color w:val="333333"/>
          <w:kern w:val="0"/>
          <w:sz w:val="32"/>
          <w:szCs w:val="32"/>
          <w:shd w:val="clear" w:color="auto" w:fill="FFFFFF"/>
        </w:rPr>
        <w:t>19.</w:t>
      </w:r>
      <w:r>
        <w:rPr>
          <w:rFonts w:hint="eastAsia" w:ascii="仿宋_GB2312" w:hAnsi="Times New Roman" w:eastAsia="仿宋_GB2312" w:cs="仿宋_GB2312"/>
          <w:color w:val="333333"/>
          <w:kern w:val="0"/>
          <w:sz w:val="32"/>
          <w:szCs w:val="32"/>
          <w:shd w:val="clear" w:color="auto" w:fill="FFFFFF"/>
        </w:rPr>
        <w:t>农林水支出（类）巩固脱贫衔接乡村振兴（款）其他巩固脱贫衔接乡村振兴支出（项）：指用于巩固拓展脱贫攻坚成果同乡村振兴有效衔接方面的支出。</w:t>
      </w:r>
    </w:p>
    <w:p>
      <w:pPr>
        <w:spacing w:line="560" w:lineRule="exact"/>
      </w:pPr>
      <w:r>
        <w:rPr>
          <w:rFonts w:hint="eastAsia" w:ascii="仿宋_GB2312" w:hAnsi="Times New Roman" w:eastAsia="仿宋_GB2312" w:cs="仿宋_GB2312"/>
          <w:color w:val="333333"/>
          <w:kern w:val="0"/>
          <w:sz w:val="32"/>
          <w:szCs w:val="32"/>
          <w:shd w:val="clear" w:color="auto" w:fill="FFFFFF"/>
        </w:rPr>
        <w:t xml:space="preserve">    </w:t>
      </w:r>
      <w:r>
        <w:rPr>
          <w:rFonts w:hint="eastAsia" w:ascii="仿宋_GB2312" w:eastAsia="仿宋_GB2312" w:cs="仿宋_GB2312"/>
          <w:color w:val="333333"/>
          <w:kern w:val="0"/>
          <w:sz w:val="32"/>
          <w:szCs w:val="32"/>
          <w:shd w:val="clear" w:color="auto" w:fill="FFFFFF"/>
        </w:rPr>
        <w:t>20.</w:t>
      </w:r>
      <w:r>
        <w:rPr>
          <w:rFonts w:hint="eastAsia" w:ascii="仿宋_GB2312" w:hAnsi="Times New Roman" w:eastAsia="仿宋_GB2312" w:cs="仿宋_GB2312"/>
          <w:color w:val="333333"/>
          <w:kern w:val="0"/>
          <w:sz w:val="32"/>
          <w:szCs w:val="32"/>
          <w:shd w:val="clear" w:color="auto" w:fill="FFFFFF"/>
        </w:rPr>
        <w:t>农林水支出（类）农村综合改革（款）对村民委员会和村党支部的补助（项）：指对村民委员会和村党支部的补助支出，以及建立县级基本财力保障机制安排的村级组织运转奖补资金。</w:t>
      </w:r>
    </w:p>
    <w:p>
      <w:pPr>
        <w:spacing w:line="560" w:lineRule="exact"/>
        <w:ind w:firstLine="640" w:firstLineChars="200"/>
        <w:rPr>
          <w:rFonts w:ascii="仿宋_GB2312" w:eastAsia="仿宋_GB2312"/>
          <w:sz w:val="32"/>
          <w:szCs w:val="32"/>
        </w:rPr>
      </w:pPr>
      <w:r>
        <w:rPr>
          <w:rFonts w:hint="eastAsia" w:ascii="仿宋_GB2312" w:eastAsia="仿宋_GB2312" w:cs="仿宋_GB2312"/>
          <w:color w:val="333333"/>
          <w:kern w:val="0"/>
          <w:sz w:val="32"/>
          <w:szCs w:val="32"/>
          <w:shd w:val="clear" w:color="auto" w:fill="FFFFFF"/>
        </w:rPr>
        <w:t>21.</w:t>
      </w:r>
      <w:r>
        <w:rPr>
          <w:rFonts w:hint="eastAsia" w:ascii="仿宋_GB2312" w:hAnsi="Times New Roman" w:eastAsia="仿宋_GB2312" w:cs="仿宋_GB2312"/>
          <w:color w:val="333333"/>
          <w:kern w:val="0"/>
          <w:sz w:val="32"/>
          <w:szCs w:val="32"/>
          <w:shd w:val="clear" w:color="auto" w:fill="FFFFFF"/>
        </w:rPr>
        <w:t>住房保障（类）住房改革支出（款）住房公积金（项）：指按照《住房公积金管理条例》的规定，由单位及其在职职工缴存的长期住房储金。</w:t>
      </w:r>
      <w:r>
        <w:rPr>
          <w:rFonts w:hint="eastAsia" w:ascii="仿宋_GB2312" w:hAnsi="Times New Roman" w:eastAsia="仿宋_GB2312" w:cs="仿宋_GB2312"/>
          <w:color w:val="333333"/>
          <w:kern w:val="0"/>
          <w:sz w:val="32"/>
          <w:szCs w:val="32"/>
          <w:shd w:val="clear" w:color="auto" w:fill="FFFFFF"/>
        </w:rPr>
        <w:br w:type="textWrapping"/>
      </w:r>
      <w:r>
        <w:rPr>
          <w:rFonts w:hint="eastAsia" w:ascii="仿宋_GB2312" w:eastAsia="仿宋_GB2312" w:cs="仿宋_GB2312"/>
          <w:color w:val="333333"/>
          <w:kern w:val="0"/>
          <w:sz w:val="32"/>
          <w:szCs w:val="32"/>
          <w:shd w:val="clear" w:color="auto" w:fill="FFFFFF"/>
        </w:rPr>
        <w:t xml:space="preserve">    22.</w:t>
      </w:r>
      <w:r>
        <w:rPr>
          <w:rFonts w:hint="eastAsia" w:ascii="仿宋_GB2312" w:eastAsia="仿宋_GB2312"/>
          <w:sz w:val="32"/>
          <w:szCs w:val="32"/>
        </w:rPr>
        <w:t>基本支出：指为保障机构正常运转、完成日常工作任务而发生的人员支出和公用支出。</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3</w:t>
      </w:r>
      <w:r>
        <w:rPr>
          <w:rFonts w:hint="eastAsia" w:ascii="仿宋_GB2312" w:eastAsia="仿宋_GB2312" w:cs="仿宋_GB2312"/>
          <w:color w:val="333333"/>
          <w:kern w:val="0"/>
          <w:sz w:val="32"/>
          <w:szCs w:val="32"/>
          <w:shd w:val="clear" w:color="auto" w:fill="FFFFFF"/>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4</w:t>
      </w:r>
      <w:r>
        <w:rPr>
          <w:rFonts w:hint="eastAsia" w:ascii="仿宋_GB2312" w:eastAsia="仿宋_GB2312" w:cs="仿宋_GB2312"/>
          <w:color w:val="333333"/>
          <w:kern w:val="0"/>
          <w:sz w:val="32"/>
          <w:szCs w:val="32"/>
          <w:shd w:val="clear" w:color="auto" w:fill="FFFFFF"/>
        </w:rPr>
        <w:t>.</w:t>
      </w:r>
      <w:r>
        <w:rPr>
          <w:rFonts w:hint="eastAsia" w:ascii="仿宋_GB2312" w:eastAsia="仿宋_GB2312"/>
          <w:sz w:val="32"/>
          <w:szCs w:val="32"/>
        </w:rPr>
        <w:t>经营支出：指事业单位在专业业务活动及其辅助活动之外开展非独立核算经营活动发生的支出。</w:t>
      </w:r>
    </w:p>
    <w:p>
      <w:pPr>
        <w:pStyle w:val="23"/>
        <w:spacing w:line="560" w:lineRule="exact"/>
        <w:ind w:firstLine="640" w:firstLineChars="200"/>
        <w:rPr>
          <w:rFonts w:hint="default" w:ascii="仿宋_GB2312" w:eastAsia="仿宋_GB2312"/>
          <w:color w:val="auto"/>
          <w:sz w:val="32"/>
          <w:szCs w:val="32"/>
        </w:rPr>
      </w:pPr>
      <w:r>
        <w:rPr>
          <w:rFonts w:ascii="仿宋_GB2312" w:eastAsia="仿宋_GB2312"/>
          <w:color w:val="auto"/>
          <w:sz w:val="32"/>
          <w:szCs w:val="32"/>
        </w:rPr>
        <w:t>25</w:t>
      </w:r>
      <w:r>
        <w:rPr>
          <w:rFonts w:ascii="仿宋_GB2312" w:eastAsia="仿宋_GB2312" w:cs="仿宋_GB2312"/>
          <w:color w:val="333333"/>
          <w:sz w:val="32"/>
          <w:szCs w:val="32"/>
          <w:shd w:val="clear" w:color="auto" w:fill="FFFFFF"/>
        </w:rPr>
        <w:t>.</w:t>
      </w:r>
      <w:r>
        <w:rPr>
          <w:rFonts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hint="default" w:ascii="仿宋_GB2312" w:eastAsia="仿宋_GB2312"/>
          <w:color w:val="auto"/>
          <w:sz w:val="32"/>
          <w:szCs w:val="32"/>
        </w:rPr>
      </w:pPr>
      <w:r>
        <w:rPr>
          <w:rFonts w:ascii="仿宋_GB2312" w:eastAsia="仿宋_GB2312"/>
          <w:color w:val="auto"/>
          <w:sz w:val="32"/>
          <w:szCs w:val="32"/>
        </w:rPr>
        <w:t>26</w:t>
      </w:r>
      <w:r>
        <w:rPr>
          <w:rFonts w:ascii="仿宋_GB2312" w:eastAsia="仿宋_GB2312" w:cs="仿宋_GB2312"/>
          <w:color w:val="333333"/>
          <w:sz w:val="32"/>
          <w:szCs w:val="32"/>
          <w:shd w:val="clear" w:color="auto" w:fill="FFFFFF"/>
        </w:rPr>
        <w:t>.</w:t>
      </w:r>
      <w:r>
        <w:rPr>
          <w:rFonts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黑体" w:hAnsi="宋体" w:eastAsia="黑体" w:cs="黑体"/>
          <w:color w:val="000000"/>
          <w:sz w:val="44"/>
          <w:szCs w:val="44"/>
        </w:rPr>
      </w:pPr>
    </w:p>
    <w:p>
      <w:pPr>
        <w:spacing w:line="600" w:lineRule="exact"/>
        <w:jc w:val="center"/>
        <w:outlineLvl w:val="0"/>
        <w:rPr>
          <w:rFonts w:ascii="黑体" w:hAnsi="宋体" w:eastAsia="黑体" w:cs="黑体"/>
          <w:color w:val="000000"/>
          <w:sz w:val="44"/>
          <w:szCs w:val="44"/>
        </w:rPr>
      </w:pPr>
    </w:p>
    <w:p>
      <w:pPr>
        <w:spacing w:line="600" w:lineRule="exact"/>
        <w:jc w:val="center"/>
        <w:outlineLvl w:val="0"/>
        <w:rPr>
          <w:rFonts w:ascii="黑体" w:hAnsi="宋体" w:eastAsia="黑体" w:cs="黑体"/>
          <w:color w:val="000000"/>
          <w:sz w:val="44"/>
          <w:szCs w:val="44"/>
        </w:rPr>
      </w:pPr>
    </w:p>
    <w:p>
      <w:pPr>
        <w:spacing w:line="600" w:lineRule="exact"/>
        <w:jc w:val="center"/>
        <w:outlineLvl w:val="0"/>
        <w:rPr>
          <w:rFonts w:ascii="黑体" w:hAnsi="宋体" w:eastAsia="黑体" w:cs="黑体"/>
          <w:color w:val="000000"/>
          <w:sz w:val="44"/>
          <w:szCs w:val="44"/>
        </w:rPr>
      </w:pPr>
    </w:p>
    <w:p>
      <w:pPr>
        <w:spacing w:line="600" w:lineRule="exact"/>
        <w:jc w:val="center"/>
        <w:outlineLvl w:val="0"/>
        <w:rPr>
          <w:rFonts w:ascii="黑体" w:hAnsi="宋体" w:eastAsia="黑体" w:cs="黑体"/>
          <w:color w:val="000000"/>
          <w:sz w:val="44"/>
          <w:szCs w:val="44"/>
        </w:rPr>
      </w:pPr>
    </w:p>
    <w:p>
      <w:pPr>
        <w:spacing w:line="600" w:lineRule="exact"/>
        <w:jc w:val="center"/>
        <w:outlineLvl w:val="0"/>
        <w:rPr>
          <w:rFonts w:ascii="黑体" w:hAnsi="宋体" w:eastAsia="黑体" w:cs="黑体"/>
          <w:color w:val="000000"/>
          <w:sz w:val="44"/>
          <w:szCs w:val="44"/>
        </w:rPr>
      </w:pPr>
    </w:p>
    <w:p>
      <w:pPr>
        <w:spacing w:line="600" w:lineRule="exact"/>
        <w:jc w:val="center"/>
        <w:outlineLvl w:val="0"/>
        <w:rPr>
          <w:rFonts w:ascii="黑体" w:hAnsi="宋体" w:eastAsia="黑体" w:cs="黑体"/>
          <w:color w:val="000000"/>
          <w:sz w:val="44"/>
          <w:szCs w:val="44"/>
        </w:rPr>
      </w:pPr>
    </w:p>
    <w:p>
      <w:pPr>
        <w:spacing w:line="600" w:lineRule="exact"/>
        <w:jc w:val="center"/>
        <w:outlineLvl w:val="0"/>
        <w:rPr>
          <w:rFonts w:ascii="黑体" w:hAnsi="宋体" w:eastAsia="黑体" w:cs="黑体"/>
          <w:color w:val="000000"/>
          <w:sz w:val="44"/>
          <w:szCs w:val="44"/>
        </w:rPr>
      </w:pPr>
    </w:p>
    <w:p>
      <w:pPr>
        <w:spacing w:line="600" w:lineRule="exact"/>
        <w:jc w:val="center"/>
        <w:outlineLvl w:val="0"/>
        <w:rPr>
          <w:rFonts w:ascii="黑体" w:hAnsi="宋体" w:eastAsia="黑体" w:cs="黑体"/>
          <w:color w:val="000000"/>
          <w:sz w:val="44"/>
          <w:szCs w:val="44"/>
        </w:rPr>
      </w:pPr>
    </w:p>
    <w:p>
      <w:pPr>
        <w:spacing w:line="600" w:lineRule="exact"/>
        <w:jc w:val="center"/>
        <w:outlineLvl w:val="0"/>
        <w:rPr>
          <w:rFonts w:ascii="黑体" w:hAnsi="宋体" w:eastAsia="黑体" w:cs="黑体"/>
          <w:color w:val="000000"/>
          <w:sz w:val="44"/>
          <w:szCs w:val="44"/>
        </w:rPr>
      </w:pPr>
    </w:p>
    <w:p>
      <w:pPr>
        <w:spacing w:line="600" w:lineRule="exact"/>
        <w:jc w:val="center"/>
        <w:outlineLvl w:val="0"/>
        <w:rPr>
          <w:rFonts w:ascii="黑体" w:hAnsi="宋体" w:eastAsia="黑体" w:cs="黑体"/>
          <w:color w:val="000000"/>
          <w:sz w:val="44"/>
          <w:szCs w:val="44"/>
        </w:rPr>
      </w:pPr>
    </w:p>
    <w:p>
      <w:pPr>
        <w:spacing w:line="600" w:lineRule="exact"/>
        <w:jc w:val="center"/>
        <w:outlineLvl w:val="0"/>
        <w:rPr>
          <w:rFonts w:ascii="黑体" w:hAnsi="宋体" w:eastAsia="黑体" w:cs="黑体"/>
          <w:color w:val="000000"/>
          <w:sz w:val="44"/>
          <w:szCs w:val="44"/>
        </w:rPr>
      </w:pPr>
    </w:p>
    <w:p>
      <w:pPr>
        <w:spacing w:line="600" w:lineRule="exact"/>
        <w:jc w:val="center"/>
        <w:outlineLvl w:val="0"/>
        <w:rPr>
          <w:rFonts w:ascii="黑体" w:hAnsi="宋体" w:eastAsia="黑体" w:cs="黑体"/>
          <w:color w:val="000000"/>
          <w:sz w:val="44"/>
          <w:szCs w:val="44"/>
        </w:rPr>
      </w:pPr>
    </w:p>
    <w:p>
      <w:pPr>
        <w:spacing w:line="600" w:lineRule="exact"/>
        <w:jc w:val="center"/>
        <w:outlineLvl w:val="0"/>
        <w:rPr>
          <w:rFonts w:ascii="黑体" w:hAnsi="宋体" w:eastAsia="黑体" w:cs="黑体"/>
          <w:color w:val="000000"/>
          <w:sz w:val="44"/>
          <w:szCs w:val="44"/>
        </w:rPr>
      </w:pPr>
    </w:p>
    <w:p>
      <w:pPr>
        <w:spacing w:line="600" w:lineRule="exact"/>
        <w:jc w:val="center"/>
        <w:outlineLvl w:val="0"/>
        <w:rPr>
          <w:rFonts w:ascii="黑体" w:hAnsi="宋体" w:eastAsia="黑体" w:cs="黑体"/>
          <w:color w:val="000000"/>
          <w:sz w:val="44"/>
          <w:szCs w:val="44"/>
        </w:rPr>
      </w:pPr>
    </w:p>
    <w:p>
      <w:pPr>
        <w:spacing w:line="600" w:lineRule="exact"/>
        <w:jc w:val="center"/>
        <w:outlineLvl w:val="0"/>
        <w:rPr>
          <w:rFonts w:ascii="黑体" w:hAnsi="宋体" w:eastAsia="黑体" w:cs="黑体"/>
          <w:color w:val="000000"/>
          <w:sz w:val="44"/>
          <w:szCs w:val="44"/>
        </w:rPr>
      </w:pPr>
    </w:p>
    <w:p>
      <w:pPr>
        <w:spacing w:line="600" w:lineRule="exact"/>
        <w:jc w:val="center"/>
        <w:outlineLvl w:val="0"/>
        <w:rPr>
          <w:rFonts w:ascii="方正小标宋简体" w:hAnsi="方正小标宋简体" w:eastAsia="方正小标宋简体" w:cs="方正小标宋简体"/>
          <w:color w:val="000000"/>
          <w:sz w:val="44"/>
          <w:szCs w:val="44"/>
        </w:rPr>
      </w:pPr>
    </w:p>
    <w:p>
      <w:pPr>
        <w:spacing w:line="600" w:lineRule="exact"/>
        <w:jc w:val="center"/>
        <w:outlineLvl w:val="0"/>
        <w:rPr>
          <w:rFonts w:ascii="方正小标宋简体" w:hAnsi="方正小标宋简体" w:eastAsia="方正小标宋简体" w:cs="方正小标宋简体"/>
          <w:color w:val="000000"/>
          <w:sz w:val="44"/>
          <w:szCs w:val="44"/>
        </w:rPr>
      </w:pPr>
    </w:p>
    <w:p>
      <w:pPr>
        <w:spacing w:line="600" w:lineRule="exact"/>
        <w:jc w:val="center"/>
        <w:outlineLvl w:val="0"/>
        <w:rPr>
          <w:rFonts w:ascii="方正小标宋简体" w:hAnsi="方正小标宋简体" w:eastAsia="方正小标宋简体" w:cs="方正小标宋简体"/>
          <w:bCs/>
          <w:kern w:val="44"/>
          <w:sz w:val="44"/>
          <w:szCs w:val="44"/>
        </w:rPr>
      </w:pPr>
      <w:r>
        <w:rPr>
          <w:rFonts w:hint="eastAsia" w:ascii="方正小标宋简体" w:hAnsi="方正小标宋简体" w:eastAsia="方正小标宋简体" w:cs="方正小标宋简体"/>
          <w:color w:val="000000"/>
          <w:sz w:val="44"/>
          <w:szCs w:val="44"/>
        </w:rPr>
        <w:t>第</w:t>
      </w:r>
      <w:r>
        <w:rPr>
          <w:rStyle w:val="24"/>
          <w:rFonts w:hint="eastAsia" w:ascii="方正小标宋简体" w:hAnsi="方正小标宋简体" w:eastAsia="方正小标宋简体" w:cs="方正小标宋简体"/>
          <w:b w:val="0"/>
        </w:rPr>
        <w:t>四部分 附件</w:t>
      </w:r>
    </w:p>
    <w:p>
      <w:pPr>
        <w:spacing w:line="600" w:lineRule="exact"/>
        <w:outlineLvl w:val="0"/>
        <w:rPr>
          <w:rFonts w:ascii="黑体" w:hAnsi="黑体" w:eastAsia="黑体" w:cs="黑体"/>
          <w:kern w:val="44"/>
          <w:sz w:val="32"/>
          <w:szCs w:val="32"/>
        </w:rPr>
      </w:pPr>
      <w:r>
        <w:rPr>
          <w:rStyle w:val="24"/>
          <w:rFonts w:hint="eastAsia" w:ascii="黑体" w:hAnsi="黑体" w:eastAsia="黑体" w:cs="黑体"/>
          <w:b w:val="0"/>
          <w:bCs w:val="0"/>
          <w:sz w:val="32"/>
          <w:szCs w:val="32"/>
        </w:rPr>
        <w:t>附件1</w:t>
      </w:r>
    </w:p>
    <w:p>
      <w:pPr>
        <w:spacing w:line="600" w:lineRule="exact"/>
        <w:jc w:val="center"/>
        <w:outlineLvl w:val="0"/>
        <w:rPr>
          <w:rFonts w:ascii="黑体" w:hAnsi="宋体" w:eastAsia="黑体" w:cs="方正小标宋简体"/>
          <w:sz w:val="36"/>
          <w:szCs w:val="36"/>
        </w:rPr>
      </w:pPr>
      <w:r>
        <w:rPr>
          <w:rFonts w:hint="eastAsia" w:ascii="黑体" w:hAnsi="宋体" w:eastAsia="黑体" w:cs="黑体"/>
          <w:sz w:val="36"/>
          <w:szCs w:val="36"/>
        </w:rPr>
        <w:t>广元市昭化区虎跳镇人民政府</w:t>
      </w:r>
    </w:p>
    <w:p>
      <w:pPr>
        <w:spacing w:line="600" w:lineRule="exact"/>
        <w:jc w:val="center"/>
        <w:outlineLvl w:val="0"/>
        <w:rPr>
          <w:rFonts w:ascii="黑体" w:hAnsi="宋体" w:eastAsia="黑体" w:cs="黑体"/>
          <w:sz w:val="32"/>
          <w:szCs w:val="32"/>
        </w:rPr>
      </w:pPr>
      <w:r>
        <w:rPr>
          <w:rFonts w:hint="eastAsia" w:ascii="黑体" w:hAnsi="宋体" w:eastAsia="黑体" w:cs="黑体"/>
          <w:sz w:val="36"/>
          <w:szCs w:val="36"/>
        </w:rPr>
        <w:t>2022年部门整体支出绩效评价报告</w:t>
      </w:r>
      <w:r>
        <w:rPr>
          <w:rFonts w:hint="eastAsia" w:ascii="黑体" w:hAnsi="宋体" w:eastAsia="黑体" w:cs="黑体"/>
          <w:sz w:val="32"/>
          <w:szCs w:val="32"/>
        </w:rPr>
        <w:t xml:space="preserve"> </w:t>
      </w:r>
    </w:p>
    <w:p>
      <w:pPr>
        <w:spacing w:line="600" w:lineRule="exact"/>
        <w:ind w:firstLine="640" w:firstLineChars="200"/>
        <w:rPr>
          <w:rFonts w:ascii="黑体" w:hAnsi="宋体" w:eastAsia="黑体" w:cs="黑体"/>
          <w:sz w:val="32"/>
          <w:szCs w:val="32"/>
        </w:rPr>
      </w:pPr>
      <w:r>
        <w:rPr>
          <w:rFonts w:hint="eastAsia" w:ascii="黑体" w:hAnsi="宋体" w:eastAsia="黑体" w:cs="黑体"/>
          <w:sz w:val="32"/>
          <w:szCs w:val="32"/>
        </w:rPr>
        <w:t>一、部门（单位）基本情况</w:t>
      </w:r>
    </w:p>
    <w:p>
      <w:pPr>
        <w:spacing w:line="576"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（一）机构组成</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虎跳镇</w:t>
      </w:r>
      <w:r>
        <w:rPr>
          <w:rFonts w:hint="eastAsia" w:ascii="Times New Roman" w:hAnsi="Times New Roman" w:eastAsia="仿宋_GB2312" w:cs="Times New Roman"/>
          <w:bCs/>
          <w:sz w:val="32"/>
          <w:szCs w:val="32"/>
        </w:rPr>
        <w:t>2022</w:t>
      </w:r>
      <w:r>
        <w:rPr>
          <w:rFonts w:hint="eastAsia" w:ascii="仿宋_GB2312" w:hAnsi="仿宋_GB2312" w:eastAsia="仿宋_GB2312" w:cs="仿宋_GB2312"/>
          <w:sz w:val="32"/>
          <w:szCs w:val="32"/>
        </w:rPr>
        <w:t>年末机构数为</w:t>
      </w:r>
      <w:r>
        <w:rPr>
          <w:rFonts w:hint="eastAsia" w:ascii="Times New Roman" w:hAnsi="Times New Roman" w:eastAsia="仿宋_GB2312" w:cs="Times New Roman"/>
          <w:bCs/>
          <w:sz w:val="32"/>
          <w:szCs w:val="32"/>
        </w:rPr>
        <w:t>12</w:t>
      </w:r>
      <w:r>
        <w:rPr>
          <w:rFonts w:hint="eastAsia" w:ascii="仿宋_GB2312" w:hAnsi="仿宋_GB2312" w:eastAsia="仿宋_GB2312" w:cs="仿宋_GB2312"/>
          <w:sz w:val="32"/>
          <w:szCs w:val="32"/>
        </w:rPr>
        <w:t>个，其中行政机关</w:t>
      </w:r>
      <w:r>
        <w:rPr>
          <w:rFonts w:hint="eastAsia" w:ascii="Times New Roman" w:hAnsi="Times New Roman" w:eastAsia="仿宋_GB2312" w:cs="Times New Roman"/>
          <w:bCs/>
          <w:sz w:val="32"/>
          <w:szCs w:val="32"/>
        </w:rPr>
        <w:t>1</w:t>
      </w:r>
      <w:r>
        <w:rPr>
          <w:rFonts w:hint="eastAsia" w:ascii="仿宋_GB2312" w:hAnsi="仿宋_GB2312" w:eastAsia="仿宋_GB2312" w:cs="仿宋_GB2312"/>
          <w:sz w:val="32"/>
          <w:szCs w:val="32"/>
        </w:rPr>
        <w:t>个即虎跳镇人民政府；事业机构</w:t>
      </w:r>
      <w:r>
        <w:rPr>
          <w:rFonts w:hint="eastAsia" w:ascii="Times New Roman" w:hAnsi="Times New Roman" w:eastAsia="仿宋_GB2312" w:cs="Times New Roman"/>
          <w:bCs/>
          <w:sz w:val="32"/>
          <w:szCs w:val="32"/>
        </w:rPr>
        <w:t>11</w:t>
      </w:r>
      <w:r>
        <w:rPr>
          <w:rFonts w:hint="eastAsia" w:ascii="仿宋_GB2312" w:hAnsi="仿宋_GB2312" w:eastAsia="仿宋_GB2312" w:cs="仿宋_GB2312"/>
          <w:sz w:val="32"/>
          <w:szCs w:val="32"/>
        </w:rPr>
        <w:t>个，分别是党政综合与乡村振兴办公室、党建工作办公室、综合行政执法办公室、社会事务办公室、财政所、社会治理工作办公室、经济发展办公室、便民服务中心、农业综合服务中心、农民工服务中心、乡村建设和文化旅游服务中心。</w:t>
      </w:r>
    </w:p>
    <w:p>
      <w:pPr>
        <w:spacing w:line="576"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（二）机构职能</w:t>
      </w:r>
    </w:p>
    <w:p>
      <w:pPr>
        <w:spacing w:line="576" w:lineRule="exact"/>
        <w:ind w:firstLine="640" w:firstLineChars="200"/>
        <w:jc w:val="left"/>
        <w:rPr>
          <w:rFonts w:ascii="仿宋_GB2312" w:hAnsi="仿宋_GB2312" w:eastAsia="仿宋_GB2312" w:cs="仿宋_GB2312"/>
          <w:sz w:val="32"/>
          <w:szCs w:val="32"/>
        </w:rPr>
      </w:pPr>
      <w:r>
        <w:rPr>
          <w:rFonts w:hint="eastAsia" w:ascii="Times New Roman" w:hAnsi="Times New Roman" w:eastAsia="仿宋_GB2312" w:cs="Times New Roman"/>
          <w:bCs/>
          <w:sz w:val="32"/>
          <w:szCs w:val="32"/>
        </w:rPr>
        <w:t>1、</w:t>
      </w:r>
      <w:r>
        <w:rPr>
          <w:rFonts w:hint="eastAsia" w:ascii="仿宋_GB2312" w:hAnsi="仿宋_GB2312" w:eastAsia="仿宋_GB2312" w:cs="仿宋_GB2312"/>
          <w:sz w:val="32"/>
          <w:szCs w:val="32"/>
        </w:rPr>
        <w:t>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spacing w:line="576" w:lineRule="exact"/>
        <w:ind w:firstLine="640" w:firstLineChars="200"/>
        <w:jc w:val="left"/>
        <w:rPr>
          <w:rFonts w:ascii="仿宋_GB2312" w:hAnsi="仿宋_GB2312" w:eastAsia="仿宋_GB2312" w:cs="仿宋_GB2312"/>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制定并组织实施村镇建设规划，部署重点工程建设，地方道路建设及公共设施，水利设施的管理，负责土地、林木、水等自然资源和生态环境的保护，做好护林防火工作。</w:t>
      </w:r>
    </w:p>
    <w:p>
      <w:pPr>
        <w:spacing w:line="576" w:lineRule="exact"/>
        <w:ind w:firstLine="640" w:firstLineChars="200"/>
        <w:jc w:val="left"/>
        <w:rPr>
          <w:rFonts w:ascii="仿宋_GB2312" w:hAnsi="仿宋_GB2312" w:eastAsia="仿宋_GB2312" w:cs="仿宋_GB2312"/>
          <w:sz w:val="32"/>
          <w:szCs w:val="32"/>
        </w:rPr>
      </w:pP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p>
    <w:p>
      <w:pPr>
        <w:spacing w:line="576" w:lineRule="exact"/>
        <w:ind w:firstLine="640" w:firstLineChars="200"/>
        <w:jc w:val="left"/>
        <w:rPr>
          <w:rFonts w:ascii="仿宋_GB2312" w:hAnsi="仿宋_GB2312" w:eastAsia="仿宋_GB2312" w:cs="仿宋_GB2312"/>
          <w:sz w:val="32"/>
          <w:szCs w:val="32"/>
        </w:rPr>
      </w:pPr>
      <w:r>
        <w:rPr>
          <w:rFonts w:hint="eastAsia" w:ascii="Times New Roman" w:hAnsi="Times New Roman" w:eastAsia="仿宋_GB2312" w:cs="Times New Roman"/>
          <w:sz w:val="32"/>
          <w:szCs w:val="32"/>
        </w:rPr>
        <w:t>4、</w:t>
      </w:r>
      <w:r>
        <w:rPr>
          <w:rFonts w:hint="eastAsia" w:ascii="仿宋_GB2312" w:hAnsi="仿宋_GB2312" w:eastAsia="仿宋_GB2312" w:cs="仿宋_GB2312"/>
          <w:sz w:val="32"/>
          <w:szCs w:val="32"/>
        </w:rPr>
        <w:t>按计划组织本级财政收入和地方税的征收，完成国家财政计划，不断培植税源，管好财政资金，增强财政实力。</w:t>
      </w:r>
    </w:p>
    <w:p>
      <w:pPr>
        <w:spacing w:line="576" w:lineRule="exact"/>
        <w:ind w:firstLine="640" w:firstLineChars="200"/>
        <w:jc w:val="left"/>
        <w:rPr>
          <w:rFonts w:ascii="仿宋_GB2312" w:hAnsi="仿宋_GB2312" w:eastAsia="仿宋_GB2312" w:cs="仿宋_GB2312"/>
          <w:sz w:val="32"/>
          <w:szCs w:val="32"/>
        </w:rPr>
      </w:pPr>
      <w:r>
        <w:rPr>
          <w:rFonts w:hint="eastAsia" w:ascii="Times New Roman" w:hAnsi="Times New Roman" w:eastAsia="仿宋_GB2312" w:cs="Times New Roman"/>
          <w:sz w:val="32"/>
          <w:szCs w:val="32"/>
        </w:rPr>
        <w:t>5、</w:t>
      </w:r>
      <w:r>
        <w:rPr>
          <w:rFonts w:hint="eastAsia" w:ascii="仿宋_GB2312" w:hAnsi="仿宋_GB2312" w:eastAsia="仿宋_GB2312" w:cs="仿宋_GB2312"/>
          <w:sz w:val="32"/>
          <w:szCs w:val="32"/>
        </w:rPr>
        <w:t>抓好精神文明建设，丰富群众文化生活，提倡移风易俗，反对封建迷信，破除陈规陋习，树立社会主义新风尚。</w:t>
      </w:r>
    </w:p>
    <w:p>
      <w:pPr>
        <w:spacing w:line="576" w:lineRule="exact"/>
        <w:ind w:firstLine="640" w:firstLineChars="200"/>
        <w:jc w:val="left"/>
        <w:rPr>
          <w:rFonts w:ascii="仿宋_GB2312" w:hAnsi="仿宋_GB2312" w:eastAsia="仿宋_GB2312" w:cs="仿宋_GB2312"/>
          <w:sz w:val="32"/>
          <w:szCs w:val="32"/>
        </w:rPr>
      </w:pPr>
      <w:r>
        <w:rPr>
          <w:rFonts w:hint="eastAsia" w:ascii="Times New Roman" w:hAnsi="Times New Roman" w:eastAsia="仿宋_GB2312" w:cs="Times New Roman"/>
          <w:sz w:val="32"/>
          <w:szCs w:val="32"/>
        </w:rPr>
        <w:t>6、</w:t>
      </w:r>
      <w:r>
        <w:rPr>
          <w:rFonts w:hint="eastAsia" w:ascii="仿宋_GB2312" w:hAnsi="仿宋_GB2312" w:eastAsia="仿宋_GB2312" w:cs="仿宋_GB2312"/>
          <w:sz w:val="32"/>
          <w:szCs w:val="32"/>
        </w:rPr>
        <w:t>执行本级人民代表大会的决议和上级国家行政机关的决定和命令，发布决定和命令。</w:t>
      </w:r>
    </w:p>
    <w:p>
      <w:pPr>
        <w:spacing w:line="576" w:lineRule="exact"/>
        <w:ind w:firstLine="640" w:firstLineChars="200"/>
        <w:jc w:val="left"/>
        <w:rPr>
          <w:rFonts w:ascii="仿宋_GB2312" w:hAnsi="仿宋_GB2312" w:eastAsia="仿宋_GB2312" w:cs="仿宋_GB2312"/>
          <w:sz w:val="32"/>
          <w:szCs w:val="32"/>
        </w:rPr>
      </w:pPr>
      <w:r>
        <w:rPr>
          <w:rFonts w:hint="eastAsia" w:ascii="Times New Roman" w:hAnsi="Times New Roman" w:eastAsia="仿宋_GB2312" w:cs="Times New Roman"/>
          <w:sz w:val="32"/>
          <w:szCs w:val="32"/>
        </w:rPr>
        <w:t>7、</w:t>
      </w:r>
      <w:r>
        <w:rPr>
          <w:rFonts w:hint="eastAsia" w:ascii="仿宋_GB2312" w:hAnsi="仿宋_GB2312" w:eastAsia="仿宋_GB2312" w:cs="仿宋_GB2312"/>
          <w:sz w:val="32"/>
          <w:szCs w:val="32"/>
        </w:rPr>
        <w:t>执行本行政区域内的经济和社会发展计划、预算。管理本行政区域内的经济、教育、科学、文化、卫生、体育事业和财政、民政、公安、司法行政、计划生育等行政工作。</w:t>
      </w:r>
    </w:p>
    <w:p>
      <w:pPr>
        <w:spacing w:line="576" w:lineRule="exact"/>
        <w:ind w:firstLine="640" w:firstLineChars="200"/>
        <w:jc w:val="left"/>
        <w:rPr>
          <w:rFonts w:ascii="仿宋_GB2312" w:hAnsi="仿宋_GB2312" w:eastAsia="仿宋_GB2312" w:cs="仿宋_GB2312"/>
          <w:sz w:val="32"/>
          <w:szCs w:val="32"/>
        </w:rPr>
      </w:pPr>
      <w:r>
        <w:rPr>
          <w:rFonts w:hint="eastAsia" w:ascii="Times New Roman" w:hAnsi="Times New Roman" w:eastAsia="仿宋_GB2312" w:cs="Times New Roman"/>
          <w:sz w:val="32"/>
          <w:szCs w:val="32"/>
        </w:rPr>
        <w:t>8、</w:t>
      </w:r>
      <w:r>
        <w:rPr>
          <w:rFonts w:hint="eastAsia" w:ascii="仿宋_GB2312" w:hAnsi="仿宋_GB2312" w:eastAsia="仿宋_GB2312" w:cs="仿宋_GB2312"/>
          <w:sz w:val="32"/>
          <w:szCs w:val="32"/>
        </w:rPr>
        <w:t>保护好社会主义全民所有的财产和劳动群众集体所有财产，保护公民私有的合法财产，维护社会秩序，保障公民的人身权利、民主权利和其他权利。</w:t>
      </w:r>
    </w:p>
    <w:p>
      <w:pPr>
        <w:spacing w:line="576" w:lineRule="exact"/>
        <w:ind w:firstLine="640" w:firstLineChars="200"/>
        <w:jc w:val="left"/>
        <w:rPr>
          <w:rFonts w:ascii="仿宋_GB2312" w:hAnsi="仿宋_GB2312" w:eastAsia="仿宋_GB2312" w:cs="仿宋_GB2312"/>
          <w:sz w:val="32"/>
          <w:szCs w:val="32"/>
        </w:rPr>
      </w:pPr>
      <w:r>
        <w:rPr>
          <w:rFonts w:hint="eastAsia" w:ascii="Times New Roman" w:hAnsi="Times New Roman" w:eastAsia="仿宋_GB2312" w:cs="Times New Roman"/>
          <w:sz w:val="32"/>
          <w:szCs w:val="32"/>
        </w:rPr>
        <w:t>9、</w:t>
      </w:r>
      <w:r>
        <w:rPr>
          <w:rFonts w:hint="eastAsia" w:ascii="仿宋_GB2312" w:hAnsi="仿宋_GB2312" w:eastAsia="仿宋_GB2312" w:cs="仿宋_GB2312"/>
          <w:sz w:val="32"/>
          <w:szCs w:val="32"/>
        </w:rPr>
        <w:t>保障农村集体经济组织应有的自主权。</w:t>
      </w:r>
    </w:p>
    <w:p>
      <w:pPr>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32"/>
        </w:rPr>
        <w:t>10、</w:t>
      </w:r>
      <w:r>
        <w:rPr>
          <w:rFonts w:ascii="Times New Roman" w:hAnsi="Times New Roman" w:eastAsia="仿宋_GB2312"/>
          <w:sz w:val="32"/>
          <w:szCs w:val="32"/>
        </w:rPr>
        <w:t>保障少数民族的权利和尊重少数民族的风俗习惯。</w:t>
      </w:r>
    </w:p>
    <w:p>
      <w:pPr>
        <w:spacing w:line="576" w:lineRule="exact"/>
        <w:ind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32"/>
        </w:rPr>
        <w:t>11、</w:t>
      </w:r>
      <w:r>
        <w:rPr>
          <w:rFonts w:ascii="Times New Roman" w:hAnsi="Times New Roman" w:eastAsia="仿宋_GB2312"/>
          <w:sz w:val="32"/>
          <w:szCs w:val="32"/>
        </w:rPr>
        <w:t>保障宪法和法律赋予妇女的男女平等、同工同酬和婚姻自由平等各项权利。</w:t>
      </w:r>
    </w:p>
    <w:p>
      <w:pPr>
        <w:spacing w:line="576" w:lineRule="exact"/>
        <w:ind w:firstLine="640" w:firstLineChars="200"/>
        <w:rPr>
          <w:rFonts w:ascii="Times New Roman" w:hAnsi="Times New Roman" w:eastAsia="楷体_GB2312" w:cs="楷体_GB2312"/>
          <w:sz w:val="32"/>
          <w:szCs w:val="32"/>
        </w:rPr>
      </w:pPr>
      <w:r>
        <w:rPr>
          <w:rFonts w:hint="eastAsia" w:ascii="Times New Roman" w:hAnsi="Times New Roman" w:eastAsia="仿宋_GB2312"/>
          <w:sz w:val="32"/>
          <w:szCs w:val="32"/>
        </w:rPr>
        <w:t>12、</w:t>
      </w:r>
      <w:r>
        <w:rPr>
          <w:rFonts w:ascii="Times New Roman" w:hAnsi="Times New Roman" w:eastAsia="仿宋_GB2312"/>
          <w:sz w:val="32"/>
          <w:szCs w:val="32"/>
        </w:rPr>
        <w:t>完成和办理上级人民政府交办的其他事项。</w:t>
      </w:r>
    </w:p>
    <w:p>
      <w:pPr>
        <w:spacing w:line="576"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（三）人员概况</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虎跳镇属一级预算单位，</w:t>
      </w:r>
      <w:r>
        <w:rPr>
          <w:rFonts w:hint="eastAsia" w:ascii="Times New Roman" w:hAnsi="Times New Roman" w:eastAsia="仿宋_GB2312" w:cs="Times New Roman"/>
          <w:sz w:val="32"/>
          <w:szCs w:val="32"/>
        </w:rPr>
        <w:t>2022</w:t>
      </w:r>
      <w:r>
        <w:rPr>
          <w:rFonts w:hint="eastAsia" w:ascii="仿宋_GB2312" w:hAnsi="仿宋_GB2312" w:eastAsia="仿宋_GB2312" w:cs="仿宋_GB2312"/>
          <w:sz w:val="32"/>
          <w:szCs w:val="32"/>
        </w:rPr>
        <w:t>年共有编制</w:t>
      </w:r>
      <w:r>
        <w:rPr>
          <w:rFonts w:hint="eastAsia" w:ascii="Times New Roman" w:hAnsi="Times New Roman" w:eastAsia="仿宋_GB2312" w:cs="Times New Roman"/>
          <w:sz w:val="32"/>
          <w:szCs w:val="32"/>
        </w:rPr>
        <w:t>65</w:t>
      </w:r>
      <w:r>
        <w:rPr>
          <w:rFonts w:hint="eastAsia" w:ascii="仿宋_GB2312" w:hAnsi="仿宋_GB2312" w:eastAsia="仿宋_GB2312" w:cs="仿宋_GB2312"/>
          <w:sz w:val="32"/>
          <w:szCs w:val="32"/>
        </w:rPr>
        <w:t>人，其中公务员</w:t>
      </w:r>
      <w:r>
        <w:rPr>
          <w:rFonts w:hint="eastAsia" w:ascii="Times New Roman" w:hAnsi="Times New Roman" w:eastAsia="仿宋_GB2312" w:cs="Times New Roman"/>
          <w:sz w:val="32"/>
          <w:szCs w:val="32"/>
        </w:rPr>
        <w:t>29</w:t>
      </w:r>
      <w:r>
        <w:rPr>
          <w:rFonts w:hint="eastAsia" w:ascii="仿宋_GB2312" w:hAnsi="仿宋_GB2312" w:eastAsia="仿宋_GB2312" w:cs="仿宋_GB2312"/>
          <w:sz w:val="32"/>
          <w:szCs w:val="32"/>
        </w:rPr>
        <w:t>人，事业人员</w:t>
      </w:r>
      <w:r>
        <w:rPr>
          <w:rFonts w:hint="eastAsia" w:ascii="Times New Roman" w:hAnsi="Times New Roman" w:eastAsia="仿宋_GB2312" w:cs="Times New Roman"/>
          <w:sz w:val="32"/>
          <w:szCs w:val="32"/>
        </w:rPr>
        <w:t>29</w:t>
      </w:r>
      <w:r>
        <w:rPr>
          <w:rFonts w:hint="eastAsia" w:ascii="仿宋_GB2312" w:hAnsi="仿宋_GB2312" w:eastAsia="仿宋_GB2312" w:cs="仿宋_GB2312"/>
          <w:sz w:val="32"/>
          <w:szCs w:val="32"/>
        </w:rPr>
        <w:t>人，工勤人员</w:t>
      </w:r>
      <w:r>
        <w:rPr>
          <w:rFonts w:hint="eastAsia" w:ascii="Times New Roman" w:hAnsi="Times New Roman" w:eastAsia="仿宋_GB2312" w:cs="Times New Roman"/>
          <w:sz w:val="32"/>
          <w:szCs w:val="32"/>
        </w:rPr>
        <w:t>7</w:t>
      </w:r>
      <w:r>
        <w:rPr>
          <w:rFonts w:hint="eastAsia" w:ascii="仿宋_GB2312" w:hAnsi="仿宋_GB2312" w:eastAsia="仿宋_GB2312" w:cs="仿宋_GB2312"/>
          <w:sz w:val="32"/>
          <w:szCs w:val="32"/>
        </w:rPr>
        <w:t>人，均为财政全额供给。其他人员共计</w:t>
      </w:r>
      <w:r>
        <w:rPr>
          <w:rFonts w:hint="eastAsia" w:ascii="Times New Roman" w:hAnsi="Times New Roman" w:eastAsia="仿宋_GB2312" w:cs="Times New Roman"/>
          <w:sz w:val="32"/>
          <w:szCs w:val="32"/>
        </w:rPr>
        <w:t>24</w:t>
      </w:r>
      <w:r>
        <w:rPr>
          <w:rFonts w:hint="eastAsia" w:ascii="仿宋_GB2312" w:hAnsi="仿宋_GB2312" w:eastAsia="仿宋_GB2312" w:cs="仿宋_GB2312"/>
          <w:sz w:val="32"/>
          <w:szCs w:val="32"/>
        </w:rPr>
        <w:t>人，其中三支一扶</w:t>
      </w:r>
      <w:r>
        <w:rPr>
          <w:rFonts w:hint="eastAsia" w:ascii="Times New Roman" w:hAnsi="Times New Roman" w:eastAsia="仿宋_GB2312" w:cs="Times New Roman"/>
          <w:sz w:val="32"/>
          <w:szCs w:val="32"/>
        </w:rPr>
        <w:t>3</w:t>
      </w:r>
      <w:r>
        <w:rPr>
          <w:rFonts w:hint="eastAsia" w:ascii="仿宋_GB2312" w:hAnsi="仿宋_GB2312" w:eastAsia="仿宋_GB2312" w:cs="仿宋_GB2312"/>
          <w:sz w:val="32"/>
          <w:szCs w:val="32"/>
        </w:rPr>
        <w:t>人，遗属</w:t>
      </w:r>
      <w:r>
        <w:rPr>
          <w:rFonts w:hint="eastAsia" w:ascii="Times New Roman" w:hAnsi="Times New Roman" w:eastAsia="仿宋_GB2312" w:cs="Times New Roman"/>
          <w:sz w:val="32"/>
          <w:szCs w:val="32"/>
        </w:rPr>
        <w:t>20</w:t>
      </w:r>
      <w:r>
        <w:rPr>
          <w:rFonts w:hint="eastAsia" w:ascii="仿宋_GB2312" w:hAnsi="仿宋_GB2312" w:eastAsia="仿宋_GB2312" w:cs="仿宋_GB2312"/>
          <w:sz w:val="32"/>
          <w:szCs w:val="32"/>
        </w:rPr>
        <w:t>人，临时炊事人员</w:t>
      </w:r>
      <w:r>
        <w:rPr>
          <w:rFonts w:hint="eastAsia" w:ascii="Times New Roman" w:hAnsi="Times New Roman" w:eastAsia="仿宋_GB2312" w:cs="Times New Roman"/>
          <w:sz w:val="32"/>
          <w:szCs w:val="32"/>
        </w:rPr>
        <w:t>1</w:t>
      </w:r>
      <w:r>
        <w:rPr>
          <w:rFonts w:hint="eastAsia" w:ascii="仿宋_GB2312" w:hAnsi="仿宋_GB2312" w:eastAsia="仿宋_GB2312" w:cs="仿宋_GB2312"/>
          <w:sz w:val="32"/>
          <w:szCs w:val="32"/>
        </w:rPr>
        <w:t>人。单位退休</w:t>
      </w:r>
      <w:r>
        <w:rPr>
          <w:rFonts w:hint="eastAsia" w:ascii="Times New Roman" w:hAnsi="Times New Roman" w:eastAsia="仿宋_GB2312" w:cs="Times New Roman"/>
          <w:sz w:val="32"/>
          <w:szCs w:val="32"/>
        </w:rPr>
        <w:t>35</w:t>
      </w:r>
      <w:r>
        <w:rPr>
          <w:rFonts w:hint="eastAsia" w:ascii="仿宋_GB2312" w:hAnsi="仿宋_GB2312" w:eastAsia="仿宋_GB2312" w:cs="仿宋_GB2312"/>
          <w:sz w:val="32"/>
          <w:szCs w:val="32"/>
        </w:rPr>
        <w:t>人，其中公务员</w:t>
      </w:r>
      <w:r>
        <w:rPr>
          <w:rFonts w:hint="eastAsia" w:ascii="Times New Roman" w:hAnsi="Times New Roman" w:eastAsia="仿宋_GB2312" w:cs="Times New Roman"/>
          <w:sz w:val="32"/>
          <w:szCs w:val="32"/>
        </w:rPr>
        <w:t>19</w:t>
      </w:r>
      <w:r>
        <w:rPr>
          <w:rFonts w:hint="eastAsia" w:ascii="仿宋_GB2312" w:hAnsi="仿宋_GB2312" w:eastAsia="仿宋_GB2312" w:cs="仿宋_GB2312"/>
          <w:sz w:val="32"/>
          <w:szCs w:val="32"/>
        </w:rPr>
        <w:t>人，事业人员</w:t>
      </w:r>
      <w:r>
        <w:rPr>
          <w:rFonts w:hint="eastAsia" w:ascii="Times New Roman" w:hAnsi="Times New Roman" w:eastAsia="仿宋_GB2312" w:cs="Times New Roman"/>
          <w:sz w:val="32"/>
          <w:szCs w:val="32"/>
        </w:rPr>
        <w:t>16</w:t>
      </w:r>
      <w:r>
        <w:rPr>
          <w:rFonts w:hint="eastAsia" w:ascii="仿宋_GB2312" w:hAnsi="仿宋_GB2312" w:eastAsia="仿宋_GB2312" w:cs="仿宋_GB2312"/>
          <w:sz w:val="32"/>
          <w:szCs w:val="32"/>
        </w:rPr>
        <w:t>人。</w:t>
      </w:r>
    </w:p>
    <w:p>
      <w:pPr>
        <w:spacing w:line="576"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二、预算单位财政收支情况</w:t>
      </w:r>
    </w:p>
    <w:p>
      <w:pPr>
        <w:spacing w:line="576"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（一）单位财政资金收入情况</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虎跳镇</w:t>
      </w:r>
      <w:r>
        <w:rPr>
          <w:rFonts w:hint="eastAsia" w:ascii="Times New Roman" w:hAnsi="Times New Roman" w:eastAsia="仿宋_GB2312" w:cs="Times New Roman"/>
          <w:sz w:val="32"/>
          <w:szCs w:val="32"/>
        </w:rPr>
        <w:t>2022</w:t>
      </w:r>
      <w:r>
        <w:rPr>
          <w:rFonts w:hint="eastAsia" w:ascii="仿宋_GB2312" w:hAnsi="仿宋_GB2312" w:eastAsia="仿宋_GB2312" w:cs="仿宋_GB2312"/>
          <w:sz w:val="32"/>
          <w:szCs w:val="32"/>
        </w:rPr>
        <w:t>年部门综合预算收入批复总数</w:t>
      </w:r>
      <w:r>
        <w:rPr>
          <w:rFonts w:hint="eastAsia" w:ascii="Times New Roman" w:hAnsi="Times New Roman" w:eastAsia="仿宋_GB2312" w:cs="Times New Roman"/>
          <w:sz w:val="32"/>
          <w:szCs w:val="32"/>
        </w:rPr>
        <w:t>1672.04</w:t>
      </w:r>
      <w:r>
        <w:rPr>
          <w:rFonts w:hint="eastAsia" w:ascii="仿宋_GB2312" w:hAnsi="仿宋_GB2312" w:eastAsia="仿宋_GB2312" w:cs="仿宋_GB2312"/>
          <w:sz w:val="32"/>
          <w:szCs w:val="32"/>
        </w:rPr>
        <w:t>万元，决算收入总数</w:t>
      </w:r>
      <w:r>
        <w:rPr>
          <w:rFonts w:hint="eastAsia" w:ascii="Times New Roman" w:hAnsi="Times New Roman" w:eastAsia="仿宋_GB2312" w:cs="Times New Roman"/>
          <w:sz w:val="32"/>
          <w:szCs w:val="32"/>
        </w:rPr>
        <w:t>1741.14</w:t>
      </w:r>
      <w:r>
        <w:rPr>
          <w:rFonts w:hint="eastAsia" w:ascii="仿宋_GB2312" w:hAnsi="仿宋_GB2312" w:eastAsia="仿宋_GB2312" w:cs="仿宋_GB2312"/>
          <w:sz w:val="32"/>
          <w:szCs w:val="32"/>
        </w:rPr>
        <w:t>万元，其中一般公共预算财政拨款收入</w:t>
      </w:r>
      <w:r>
        <w:rPr>
          <w:rFonts w:hint="eastAsia" w:ascii="Times New Roman" w:hAnsi="Times New Roman" w:eastAsia="仿宋_GB2312" w:cs="Times New Roman"/>
          <w:sz w:val="32"/>
          <w:szCs w:val="32"/>
        </w:rPr>
        <w:t>1725.64</w:t>
      </w:r>
      <w:r>
        <w:rPr>
          <w:rFonts w:hint="eastAsia" w:ascii="仿宋_GB2312" w:hAnsi="仿宋_GB2312" w:eastAsia="仿宋_GB2312" w:cs="仿宋_GB2312"/>
          <w:sz w:val="32"/>
          <w:szCs w:val="32"/>
        </w:rPr>
        <w:t>万元，政府性基金预算财政拨款收入</w:t>
      </w:r>
      <w:r>
        <w:rPr>
          <w:rFonts w:hint="eastAsia" w:ascii="Times New Roman" w:hAnsi="Times New Roman" w:eastAsia="仿宋_GB2312" w:cs="Times New Roman"/>
          <w:sz w:val="32"/>
          <w:szCs w:val="32"/>
        </w:rPr>
        <w:t>15.5</w:t>
      </w:r>
      <w:r>
        <w:rPr>
          <w:rFonts w:hint="eastAsia" w:ascii="仿宋_GB2312" w:hAnsi="仿宋_GB2312" w:eastAsia="仿宋_GB2312" w:cs="仿宋_GB2312"/>
          <w:sz w:val="32"/>
          <w:szCs w:val="32"/>
        </w:rPr>
        <w:t>万元。收入增长主要原因在于追加一般公共预算财政拨款</w:t>
      </w:r>
      <w:r>
        <w:rPr>
          <w:rFonts w:hint="eastAsia" w:ascii="Times New Roman" w:hAnsi="Times New Roman" w:eastAsia="仿宋_GB2312" w:cs="Times New Roman"/>
          <w:sz w:val="32"/>
          <w:szCs w:val="32"/>
        </w:rPr>
        <w:t>53.6</w:t>
      </w:r>
      <w:r>
        <w:rPr>
          <w:rFonts w:hint="eastAsia" w:ascii="仿宋_GB2312" w:hAnsi="仿宋_GB2312" w:eastAsia="仿宋_GB2312" w:cs="仿宋_GB2312"/>
          <w:sz w:val="32"/>
          <w:szCs w:val="32"/>
        </w:rPr>
        <w:t>万元、政府性基金预算财政拨款</w:t>
      </w:r>
      <w:r>
        <w:rPr>
          <w:rFonts w:hint="eastAsia" w:ascii="Times New Roman" w:hAnsi="Times New Roman" w:eastAsia="仿宋_GB2312" w:cs="Times New Roman"/>
          <w:sz w:val="32"/>
          <w:szCs w:val="32"/>
        </w:rPr>
        <w:t>15.5</w:t>
      </w:r>
      <w:r>
        <w:rPr>
          <w:rFonts w:hint="eastAsia" w:ascii="仿宋_GB2312" w:hAnsi="仿宋_GB2312" w:eastAsia="仿宋_GB2312" w:cs="仿宋_GB2312"/>
          <w:sz w:val="32"/>
          <w:szCs w:val="32"/>
        </w:rPr>
        <w:t>万元。</w:t>
      </w:r>
    </w:p>
    <w:p>
      <w:pPr>
        <w:spacing w:line="576" w:lineRule="exact"/>
        <w:ind w:firstLine="643"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（二）单位财政支出情况</w:t>
      </w:r>
    </w:p>
    <w:p>
      <w:pPr>
        <w:spacing w:line="576" w:lineRule="exact"/>
        <w:ind w:firstLine="640" w:firstLineChars="200"/>
        <w:jc w:val="left"/>
        <w:rPr>
          <w:rFonts w:ascii="仿宋_GB2312" w:hAnsi="仿宋_GB2312" w:cs="仿宋_GB2312"/>
          <w:sz w:val="32"/>
          <w:szCs w:val="32"/>
        </w:rPr>
      </w:pPr>
      <w:r>
        <w:rPr>
          <w:rFonts w:hint="eastAsia" w:ascii="仿宋_GB2312" w:hAnsi="仿宋_GB2312" w:eastAsia="仿宋_GB2312" w:cs="仿宋_GB2312"/>
          <w:sz w:val="32"/>
          <w:szCs w:val="32"/>
        </w:rPr>
        <w:t>虎跳镇</w:t>
      </w:r>
      <w:r>
        <w:rPr>
          <w:rFonts w:hint="eastAsia" w:ascii="Times New Roman" w:hAnsi="Times New Roman" w:eastAsia="仿宋_GB2312" w:cs="Times New Roman"/>
          <w:sz w:val="32"/>
          <w:szCs w:val="32"/>
        </w:rPr>
        <w:t>2022</w:t>
      </w:r>
      <w:r>
        <w:rPr>
          <w:rFonts w:hint="eastAsia" w:ascii="仿宋_GB2312" w:hAnsi="仿宋_GB2312" w:eastAsia="仿宋_GB2312" w:cs="仿宋_GB2312"/>
          <w:sz w:val="32"/>
          <w:szCs w:val="32"/>
        </w:rPr>
        <w:t>年部门综合预算支出批复总数</w:t>
      </w:r>
      <w:r>
        <w:rPr>
          <w:rFonts w:hint="eastAsia" w:ascii="Times New Roman" w:hAnsi="Times New Roman" w:eastAsia="仿宋_GB2312" w:cs="Times New Roman"/>
          <w:sz w:val="32"/>
          <w:szCs w:val="32"/>
        </w:rPr>
        <w:t>1672.04</w:t>
      </w:r>
      <w:r>
        <w:rPr>
          <w:rFonts w:hint="eastAsia" w:ascii="仿宋_GB2312" w:hAnsi="仿宋_GB2312" w:eastAsia="仿宋_GB2312" w:cs="仿宋_GB2312"/>
          <w:sz w:val="32"/>
          <w:szCs w:val="32"/>
        </w:rPr>
        <w:t>万元，决算支出总数</w:t>
      </w:r>
      <w:r>
        <w:rPr>
          <w:rFonts w:hint="eastAsia" w:ascii="Times New Roman" w:hAnsi="Times New Roman" w:eastAsia="仿宋_GB2312" w:cs="Times New Roman"/>
          <w:sz w:val="32"/>
          <w:szCs w:val="32"/>
        </w:rPr>
        <w:t>1741.14</w:t>
      </w:r>
      <w:r>
        <w:rPr>
          <w:rFonts w:hint="eastAsia" w:ascii="仿宋_GB2312" w:hAnsi="仿宋_GB2312" w:eastAsia="仿宋_GB2312" w:cs="仿宋_GB2312"/>
          <w:sz w:val="32"/>
          <w:szCs w:val="32"/>
        </w:rPr>
        <w:t>万元，支出增长主要原因在于</w:t>
      </w:r>
      <w:r>
        <w:rPr>
          <w:rFonts w:hint="eastAsia" w:ascii="Times New Roman" w:hAnsi="Times New Roman" w:eastAsia="仿宋_GB2312" w:cs="Times New Roman"/>
          <w:sz w:val="32"/>
          <w:szCs w:val="32"/>
        </w:rPr>
        <w:t>2022</w:t>
      </w:r>
      <w:r>
        <w:rPr>
          <w:rFonts w:hint="eastAsia" w:ascii="仿宋_GB2312" w:hAnsi="仿宋_GB2312" w:eastAsia="仿宋_GB2312" w:cs="仿宋_GB2312"/>
          <w:sz w:val="32"/>
          <w:szCs w:val="32"/>
        </w:rPr>
        <w:t>年追加了一般公共预算财政拨款</w:t>
      </w:r>
      <w:r>
        <w:rPr>
          <w:rFonts w:hint="eastAsia" w:ascii="Times New Roman" w:hAnsi="Times New Roman" w:eastAsia="仿宋_GB2312" w:cs="Times New Roman"/>
          <w:sz w:val="32"/>
          <w:szCs w:val="32"/>
        </w:rPr>
        <w:t>53.6</w:t>
      </w:r>
      <w:r>
        <w:rPr>
          <w:rFonts w:hint="eastAsia" w:ascii="仿宋_GB2312" w:hAnsi="仿宋_GB2312" w:eastAsia="仿宋_GB2312" w:cs="仿宋_GB2312"/>
          <w:sz w:val="32"/>
          <w:szCs w:val="32"/>
        </w:rPr>
        <w:t>万元、政府性基金预算财政拨款</w:t>
      </w:r>
      <w:r>
        <w:rPr>
          <w:rFonts w:hint="eastAsia" w:ascii="Times New Roman" w:hAnsi="Times New Roman" w:eastAsia="仿宋_GB2312" w:cs="Times New Roman"/>
          <w:sz w:val="32"/>
          <w:szCs w:val="32"/>
        </w:rPr>
        <w:t>15.5</w:t>
      </w:r>
      <w:r>
        <w:rPr>
          <w:rFonts w:hint="eastAsia" w:ascii="仿宋_GB2312" w:hAnsi="仿宋_GB2312" w:eastAsia="仿宋_GB2312" w:cs="仿宋_GB2312"/>
          <w:sz w:val="32"/>
          <w:szCs w:val="32"/>
        </w:rPr>
        <w:t>万元。</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虎跳镇</w:t>
      </w:r>
      <w:r>
        <w:rPr>
          <w:rFonts w:hint="eastAsia" w:ascii="Times New Roman" w:hAnsi="Times New Roman" w:eastAsia="仿宋_GB2312" w:cs="Times New Roman"/>
          <w:sz w:val="32"/>
          <w:szCs w:val="32"/>
        </w:rPr>
        <w:t>2022</w:t>
      </w:r>
      <w:r>
        <w:rPr>
          <w:rFonts w:hint="eastAsia" w:ascii="仿宋_GB2312" w:hAnsi="仿宋_GB2312" w:eastAsia="仿宋_GB2312" w:cs="仿宋_GB2312"/>
          <w:sz w:val="32"/>
          <w:szCs w:val="32"/>
        </w:rPr>
        <w:t>年一般公共服务支出</w:t>
      </w:r>
      <w:r>
        <w:rPr>
          <w:rFonts w:hint="eastAsia" w:ascii="Times New Roman" w:hAnsi="Times New Roman" w:eastAsia="仿宋_GB2312" w:cs="Times New Roman"/>
          <w:sz w:val="32"/>
          <w:szCs w:val="32"/>
        </w:rPr>
        <w:t>819.30</w:t>
      </w:r>
      <w:r>
        <w:rPr>
          <w:rFonts w:hint="eastAsia" w:ascii="仿宋_GB2312" w:hAnsi="仿宋_GB2312" w:eastAsia="仿宋_GB2312" w:cs="仿宋_GB2312"/>
          <w:sz w:val="32"/>
          <w:szCs w:val="32"/>
        </w:rPr>
        <w:t>万元，文化旅游体育与传媒支出</w:t>
      </w:r>
      <w:r>
        <w:rPr>
          <w:rFonts w:hint="eastAsia" w:ascii="Times New Roman" w:hAnsi="Times New Roman" w:eastAsia="仿宋_GB2312" w:cs="Times New Roman"/>
          <w:sz w:val="32"/>
          <w:szCs w:val="32"/>
        </w:rPr>
        <w:t>1.50</w:t>
      </w:r>
      <w:r>
        <w:rPr>
          <w:rFonts w:hint="eastAsia" w:ascii="仿宋_GB2312" w:hAnsi="仿宋_GB2312" w:eastAsia="仿宋_GB2312" w:cs="仿宋_GB2312"/>
          <w:sz w:val="32"/>
          <w:szCs w:val="32"/>
        </w:rPr>
        <w:t>万元，社会保障和就业支出</w:t>
      </w:r>
      <w:r>
        <w:rPr>
          <w:rFonts w:hint="eastAsia" w:ascii="Times New Roman" w:hAnsi="Times New Roman" w:eastAsia="仿宋_GB2312" w:cs="Times New Roman"/>
          <w:sz w:val="32"/>
          <w:szCs w:val="32"/>
        </w:rPr>
        <w:t>155.22</w:t>
      </w:r>
      <w:r>
        <w:rPr>
          <w:rFonts w:hint="eastAsia" w:ascii="仿宋_GB2312" w:hAnsi="仿宋_GB2312" w:eastAsia="仿宋_GB2312" w:cs="仿宋_GB2312"/>
          <w:sz w:val="32"/>
          <w:szCs w:val="32"/>
        </w:rPr>
        <w:t>万元，卫生健康支出</w:t>
      </w:r>
      <w:r>
        <w:rPr>
          <w:rFonts w:hint="eastAsia" w:ascii="Times New Roman" w:hAnsi="Times New Roman" w:eastAsia="仿宋_GB2312" w:cs="Times New Roman"/>
          <w:sz w:val="32"/>
          <w:szCs w:val="32"/>
        </w:rPr>
        <w:t>43.27</w:t>
      </w:r>
      <w:r>
        <w:rPr>
          <w:rFonts w:hint="eastAsia" w:ascii="仿宋_GB2312" w:hAnsi="仿宋_GB2312" w:eastAsia="仿宋_GB2312" w:cs="仿宋_GB2312"/>
          <w:sz w:val="32"/>
          <w:szCs w:val="32"/>
        </w:rPr>
        <w:t>万元，城乡社区支出</w:t>
      </w:r>
      <w:r>
        <w:rPr>
          <w:rFonts w:hint="eastAsia" w:ascii="Times New Roman" w:hAnsi="Times New Roman" w:eastAsia="仿宋_GB2312" w:cs="Times New Roman"/>
          <w:sz w:val="32"/>
          <w:szCs w:val="32"/>
        </w:rPr>
        <w:t>24.50</w:t>
      </w:r>
      <w:r>
        <w:rPr>
          <w:rFonts w:hint="eastAsia" w:ascii="仿宋_GB2312" w:hAnsi="仿宋_GB2312" w:eastAsia="仿宋_GB2312" w:cs="仿宋_GB2312"/>
          <w:sz w:val="32"/>
          <w:szCs w:val="32"/>
        </w:rPr>
        <w:t>万元，农林水支出</w:t>
      </w:r>
      <w:r>
        <w:rPr>
          <w:rFonts w:hint="eastAsia" w:ascii="Times New Roman" w:hAnsi="Times New Roman" w:eastAsia="仿宋_GB2312" w:cs="Times New Roman"/>
          <w:sz w:val="32"/>
          <w:szCs w:val="32"/>
        </w:rPr>
        <w:t>605.70</w:t>
      </w:r>
      <w:r>
        <w:rPr>
          <w:rFonts w:hint="eastAsia" w:ascii="仿宋_GB2312" w:hAnsi="仿宋_GB2312" w:eastAsia="仿宋_GB2312" w:cs="仿宋_GB2312"/>
          <w:sz w:val="32"/>
          <w:szCs w:val="32"/>
        </w:rPr>
        <w:t>万元，住房保障支出</w:t>
      </w:r>
      <w:r>
        <w:rPr>
          <w:rFonts w:hint="eastAsia" w:ascii="Times New Roman" w:hAnsi="Times New Roman" w:eastAsia="仿宋_GB2312" w:cs="Times New Roman"/>
          <w:sz w:val="32"/>
          <w:szCs w:val="32"/>
        </w:rPr>
        <w:t>81.65</w:t>
      </w:r>
      <w:r>
        <w:rPr>
          <w:rFonts w:hint="eastAsia" w:ascii="仿宋_GB2312" w:hAnsi="仿宋_GB2312" w:eastAsia="仿宋_GB2312" w:cs="仿宋_GB2312"/>
          <w:sz w:val="32"/>
          <w:szCs w:val="32"/>
        </w:rPr>
        <w:t>万元，灾害防治及应急管理支出</w:t>
      </w:r>
      <w:r>
        <w:rPr>
          <w:rFonts w:hint="eastAsia" w:ascii="Times New Roman" w:hAnsi="Times New Roman" w:eastAsia="仿宋_GB2312" w:cs="Times New Roman"/>
          <w:sz w:val="32"/>
          <w:szCs w:val="32"/>
        </w:rPr>
        <w:t>10</w:t>
      </w:r>
      <w:r>
        <w:rPr>
          <w:rFonts w:hint="eastAsia" w:ascii="仿宋_GB2312" w:hAnsi="仿宋_GB2312" w:eastAsia="仿宋_GB2312" w:cs="仿宋_GB2312"/>
          <w:sz w:val="32"/>
          <w:szCs w:val="32"/>
        </w:rPr>
        <w:t>万元。</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虎跳镇</w:t>
      </w:r>
      <w:r>
        <w:rPr>
          <w:rFonts w:hint="eastAsia" w:ascii="Times New Roman" w:hAnsi="Times New Roman" w:eastAsia="仿宋_GB2312" w:cs="Times New Roman"/>
          <w:sz w:val="32"/>
          <w:szCs w:val="32"/>
        </w:rPr>
        <w:t>2022</w:t>
      </w:r>
      <w:r>
        <w:rPr>
          <w:rFonts w:hint="eastAsia" w:ascii="仿宋_GB2312" w:hAnsi="仿宋_GB2312" w:eastAsia="仿宋_GB2312" w:cs="仿宋_GB2312"/>
          <w:sz w:val="32"/>
          <w:szCs w:val="32"/>
        </w:rPr>
        <w:t>年基本支出</w:t>
      </w:r>
      <w:r>
        <w:rPr>
          <w:rFonts w:hint="eastAsia" w:ascii="Times New Roman" w:hAnsi="Times New Roman" w:eastAsia="仿宋_GB2312" w:cs="Times New Roman"/>
          <w:sz w:val="32"/>
          <w:szCs w:val="32"/>
        </w:rPr>
        <w:t>1065.47</w:t>
      </w:r>
      <w:r>
        <w:rPr>
          <w:rFonts w:hint="eastAsia" w:ascii="仿宋_GB2312" w:hAnsi="仿宋_GB2312" w:eastAsia="仿宋_GB2312" w:cs="仿宋_GB2312"/>
          <w:sz w:val="32"/>
          <w:szCs w:val="32"/>
        </w:rPr>
        <w:t>万元，项目支出</w:t>
      </w:r>
      <w:r>
        <w:rPr>
          <w:rFonts w:hint="eastAsia" w:ascii="Times New Roman" w:hAnsi="Times New Roman" w:eastAsia="仿宋_GB2312" w:cs="Times New Roman"/>
          <w:sz w:val="32"/>
          <w:szCs w:val="32"/>
        </w:rPr>
        <w:t>675.67</w:t>
      </w:r>
      <w:r>
        <w:rPr>
          <w:rFonts w:hint="eastAsia" w:ascii="仿宋_GB2312" w:hAnsi="仿宋_GB2312" w:eastAsia="仿宋_GB2312" w:cs="仿宋_GB2312"/>
          <w:sz w:val="32"/>
          <w:szCs w:val="32"/>
        </w:rPr>
        <w:t>万元。基本支出中人员经费</w:t>
      </w:r>
      <w:r>
        <w:rPr>
          <w:rFonts w:hint="eastAsia" w:ascii="Times New Roman" w:hAnsi="Times New Roman" w:eastAsia="仿宋_GB2312" w:cs="Times New Roman"/>
          <w:sz w:val="32"/>
          <w:szCs w:val="32"/>
        </w:rPr>
        <w:t>930.81</w:t>
      </w:r>
      <w:r>
        <w:rPr>
          <w:rFonts w:hint="eastAsia" w:ascii="仿宋_GB2312" w:hAnsi="仿宋_GB2312" w:eastAsia="仿宋_GB2312" w:cs="仿宋_GB2312"/>
          <w:sz w:val="32"/>
          <w:szCs w:val="32"/>
        </w:rPr>
        <w:t>万元，主要包括：基本工资、津贴补贴、奖金、社会保险缴费、离休费、住房公积金等支出；公用经费</w:t>
      </w:r>
      <w:r>
        <w:rPr>
          <w:rFonts w:hint="eastAsia" w:ascii="Times New Roman" w:hAnsi="Times New Roman" w:eastAsia="仿宋_GB2312" w:cs="Times New Roman"/>
          <w:sz w:val="32"/>
          <w:szCs w:val="32"/>
        </w:rPr>
        <w:t>134.66</w:t>
      </w:r>
      <w:r>
        <w:rPr>
          <w:rFonts w:hint="eastAsia" w:ascii="仿宋_GB2312" w:hAnsi="仿宋_GB2312" w:eastAsia="仿宋_GB2312" w:cs="仿宋_GB2312"/>
          <w:sz w:val="32"/>
          <w:szCs w:val="32"/>
        </w:rPr>
        <w:t>万元，主要包括：办公费、印刷费、水费、电费、邮电费、物业管理费、差旅费、维修（护）费、会议费、培训费、公务接待费、劳务费、工会经费、福利费等支出。</w:t>
      </w:r>
    </w:p>
    <w:p>
      <w:pPr>
        <w:spacing w:line="576" w:lineRule="exact"/>
        <w:ind w:firstLine="640" w:firstLineChars="200"/>
        <w:rPr>
          <w:rFonts w:ascii="仿宋_GB2312" w:hAnsi="仿宋_GB2312" w:eastAsia="仿宋_GB2312" w:cs="仿宋_GB2312"/>
          <w:sz w:val="32"/>
          <w:szCs w:val="32"/>
        </w:rPr>
      </w:pPr>
      <w:r>
        <w:rPr>
          <w:rFonts w:hint="eastAsia" w:ascii="黑体" w:hAnsi="黑体" w:eastAsia="黑体" w:cs="黑体"/>
          <w:bCs/>
          <w:sz w:val="32"/>
          <w:szCs w:val="32"/>
        </w:rPr>
        <w:t>三、部门整体预算绩效管理情况</w:t>
      </w:r>
    </w:p>
    <w:p>
      <w:pPr>
        <w:spacing w:line="576"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（一）部门预算项目绩效管理</w:t>
      </w:r>
    </w:p>
    <w:p>
      <w:pPr>
        <w:spacing w:line="576" w:lineRule="exact"/>
        <w:ind w:firstLine="640" w:firstLineChars="200"/>
        <w:jc w:val="left"/>
        <w:rPr>
          <w:rFonts w:ascii="仿宋_GB2312" w:hAnsi="仿宋_GB2312" w:eastAsia="仿宋_GB2312" w:cs="仿宋_GB2312"/>
          <w:sz w:val="32"/>
          <w:szCs w:val="32"/>
        </w:rPr>
      </w:pPr>
      <w:r>
        <w:rPr>
          <w:rFonts w:hint="eastAsia" w:ascii="Times New Roman" w:hAnsi="Times New Roman" w:eastAsia="仿宋_GB2312" w:cs="Times New Roman"/>
          <w:sz w:val="32"/>
          <w:szCs w:val="32"/>
        </w:rPr>
        <w:t>1</w:t>
      </w:r>
      <w:r>
        <w:rPr>
          <w:rFonts w:hint="eastAsia" w:ascii="仿宋_GB2312" w:hAnsi="仿宋_GB2312" w:eastAsia="仿宋_GB2312" w:cs="仿宋_GB2312"/>
          <w:sz w:val="32"/>
          <w:szCs w:val="32"/>
        </w:rPr>
        <w:t>、目标管理</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1</w:t>
      </w:r>
      <w:r>
        <w:rPr>
          <w:rFonts w:hint="eastAsia" w:ascii="仿宋_GB2312" w:hAnsi="仿宋_GB2312" w:eastAsia="仿宋_GB2312" w:cs="仿宋_GB2312"/>
          <w:sz w:val="32"/>
          <w:szCs w:val="32"/>
        </w:rPr>
        <w:t>）目标制定</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虎跳镇严格按照年度预算安排、履职目标、绩效指标要求，细化职责分工，明确责任主体，确定各项具体工作职责，完成本单位绩效目标编制申报、审核、汇总、公开、实施自评等。绩效目标编制要素完整，绩效指标得到了进一步的细化、量化，绩效目标指向明确、合理可行，年度目标产出指标、效益指标和满意度指标等均达到相关要求。</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2</w:t>
      </w:r>
      <w:r>
        <w:rPr>
          <w:rFonts w:hint="eastAsia" w:ascii="仿宋_GB2312" w:hAnsi="仿宋_GB2312" w:eastAsia="仿宋_GB2312" w:cs="仿宋_GB2312"/>
          <w:sz w:val="32"/>
          <w:szCs w:val="32"/>
        </w:rPr>
        <w:t>）目标实现</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人员类：全年支出</w:t>
      </w:r>
      <w:r>
        <w:rPr>
          <w:rFonts w:hint="eastAsia" w:ascii="Times New Roman" w:hAnsi="Times New Roman" w:eastAsia="仿宋_GB2312" w:cs="Times New Roman"/>
          <w:sz w:val="32"/>
          <w:szCs w:val="32"/>
        </w:rPr>
        <w:t>930.81</w:t>
      </w:r>
      <w:r>
        <w:rPr>
          <w:rFonts w:hint="eastAsia" w:ascii="仿宋_GB2312" w:hAnsi="仿宋_GB2312" w:eastAsia="仿宋_GB2312" w:cs="仿宋_GB2312"/>
          <w:sz w:val="32"/>
          <w:szCs w:val="32"/>
        </w:rPr>
        <w:t>万元，按照规定标准及时足额发放</w:t>
      </w:r>
      <w:r>
        <w:rPr>
          <w:rFonts w:hint="eastAsia" w:ascii="Times New Roman" w:hAnsi="Times New Roman" w:eastAsia="仿宋_GB2312" w:cs="Times New Roman"/>
          <w:sz w:val="32"/>
          <w:szCs w:val="32"/>
        </w:rPr>
        <w:t>65</w:t>
      </w:r>
      <w:r>
        <w:rPr>
          <w:rFonts w:hint="eastAsia" w:ascii="仿宋_GB2312" w:hAnsi="仿宋_GB2312" w:eastAsia="仿宋_GB2312" w:cs="仿宋_GB2312"/>
          <w:sz w:val="32"/>
          <w:szCs w:val="32"/>
        </w:rPr>
        <w:t>名工作人员工资薪酬，保障了工作有序开展，完成计划目标任务；</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运转类：全年支出</w:t>
      </w:r>
      <w:r>
        <w:rPr>
          <w:rFonts w:hint="eastAsia" w:ascii="Times New Roman" w:hAnsi="Times New Roman" w:eastAsia="仿宋_GB2312" w:cs="Times New Roman"/>
          <w:sz w:val="32"/>
          <w:szCs w:val="32"/>
        </w:rPr>
        <w:t>134.66</w:t>
      </w:r>
      <w:r>
        <w:rPr>
          <w:rFonts w:hint="eastAsia" w:ascii="仿宋_GB2312" w:hAnsi="仿宋_GB2312" w:eastAsia="仿宋_GB2312" w:cs="仿宋_GB2312"/>
          <w:sz w:val="32"/>
          <w:szCs w:val="32"/>
        </w:rPr>
        <w:t>万元，保障了单位日常运转。年初制定的运转保障率、预算准确率、科目调整次数等指标均完成；</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特定目标类项目：全年支出</w:t>
      </w:r>
      <w:r>
        <w:rPr>
          <w:rFonts w:hint="eastAsia" w:ascii="Times New Roman" w:hAnsi="Times New Roman" w:eastAsia="仿宋_GB2312" w:cs="Times New Roman"/>
          <w:sz w:val="32"/>
          <w:szCs w:val="32"/>
        </w:rPr>
        <w:t>675.67</w:t>
      </w:r>
      <w:r>
        <w:rPr>
          <w:rFonts w:ascii="仿宋_GB2312" w:hAnsi="仿宋_GB2312" w:eastAsia="仿宋_GB2312" w:cs="仿宋_GB2312"/>
          <w:sz w:val="32"/>
          <w:szCs w:val="32"/>
        </w:rPr>
        <w:t>万元，均为基层组织活动和公共服务运行经费</w:t>
      </w:r>
      <w:r>
        <w:rPr>
          <w:rFonts w:hint="eastAsia" w:ascii="仿宋_GB2312" w:hAnsi="仿宋_GB2312" w:eastAsia="仿宋_GB2312" w:cs="仿宋_GB2312"/>
          <w:sz w:val="32"/>
          <w:szCs w:val="32"/>
        </w:rPr>
        <w:t>、村干部补助、村办公费、垃圾清运、武装经费等费用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总体完成较好，基本实现了预期目标。</w:t>
      </w:r>
    </w:p>
    <w:p>
      <w:pPr>
        <w:pStyle w:val="8"/>
        <w:spacing w:before="93" w:line="576" w:lineRule="exact"/>
        <w:ind w:firstLine="640" w:firstLineChars="200"/>
        <w:rPr>
          <w:rFonts w:hAnsi="仿宋_GB2312" w:cs="仿宋_GB2312"/>
          <w:sz w:val="32"/>
          <w:szCs w:val="32"/>
        </w:rPr>
      </w:pPr>
      <w:r>
        <w:rPr>
          <w:rFonts w:hint="eastAsia" w:ascii="Times New Roman"/>
          <w:sz w:val="32"/>
          <w:szCs w:val="32"/>
        </w:rPr>
        <w:t>2</w:t>
      </w:r>
      <w:r>
        <w:rPr>
          <w:rFonts w:hint="eastAsia" w:hAnsi="仿宋_GB2312" w:cs="仿宋_GB2312"/>
          <w:sz w:val="32"/>
          <w:szCs w:val="32"/>
        </w:rPr>
        <w:t>、动态调整</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lang w:bidi="zh-CN"/>
        </w:rPr>
        <w:t>1</w:t>
      </w:r>
      <w:r>
        <w:rPr>
          <w:rFonts w:hint="eastAsia" w:ascii="仿宋_GB2312" w:hAnsi="仿宋_GB2312" w:eastAsia="仿宋_GB2312" w:cs="仿宋_GB2312"/>
          <w:sz w:val="32"/>
          <w:szCs w:val="32"/>
        </w:rPr>
        <w:t>）支出控制：通过预算数与决算数对比，公用经费相关科目偏差度如下：</w:t>
      </w:r>
    </w:p>
    <w:tbl>
      <w:tblPr>
        <w:tblStyle w:val="18"/>
        <w:tblW w:w="9191" w:type="dxa"/>
        <w:jc w:val="center"/>
        <w:tblLayout w:type="fixed"/>
        <w:tblCellMar>
          <w:top w:w="0" w:type="dxa"/>
          <w:left w:w="108" w:type="dxa"/>
          <w:bottom w:w="0" w:type="dxa"/>
          <w:right w:w="108" w:type="dxa"/>
        </w:tblCellMar>
      </w:tblPr>
      <w:tblGrid>
        <w:gridCol w:w="3300"/>
        <w:gridCol w:w="2216"/>
        <w:gridCol w:w="2164"/>
        <w:gridCol w:w="1511"/>
      </w:tblGrid>
      <w:tr>
        <w:tblPrEx>
          <w:tblCellMar>
            <w:top w:w="0" w:type="dxa"/>
            <w:left w:w="108" w:type="dxa"/>
            <w:bottom w:w="0" w:type="dxa"/>
            <w:right w:w="108" w:type="dxa"/>
          </w:tblCellMar>
        </w:tblPrEx>
        <w:trPr>
          <w:trHeight w:val="506" w:hRule="atLeast"/>
          <w:jc w:val="center"/>
        </w:trPr>
        <w:tc>
          <w:tcPr>
            <w:tcW w:w="3300"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科目</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预算数（万元）</w:t>
            </w:r>
          </w:p>
        </w:tc>
        <w:tc>
          <w:tcPr>
            <w:tcW w:w="2164"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决算数（万元）</w:t>
            </w:r>
          </w:p>
        </w:tc>
        <w:tc>
          <w:tcPr>
            <w:tcW w:w="1511"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偏差度</w:t>
            </w:r>
          </w:p>
        </w:tc>
      </w:tr>
      <w:tr>
        <w:tblPrEx>
          <w:tblCellMar>
            <w:top w:w="0" w:type="dxa"/>
            <w:left w:w="108" w:type="dxa"/>
            <w:bottom w:w="0" w:type="dxa"/>
            <w:right w:w="108" w:type="dxa"/>
          </w:tblCellMar>
        </w:tblPrEx>
        <w:trPr>
          <w:trHeight w:val="491" w:hRule="atLeast"/>
          <w:jc w:val="center"/>
        </w:trPr>
        <w:tc>
          <w:tcPr>
            <w:tcW w:w="3300"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Fonts w:ascii="Times New Roman" w:hAnsi="Times New Roman" w:eastAsia="仿宋_GB2312" w:cs="Times New Roman"/>
                <w:kern w:val="0"/>
                <w:sz w:val="32"/>
                <w:szCs w:val="32"/>
                <w:shd w:val="clear" w:color="auto" w:fill="FFFFFF"/>
              </w:rPr>
            </w:pPr>
            <w:bookmarkStart w:id="0" w:name="OLE_LINK1" w:colFirst="1" w:colLast="2"/>
            <w:r>
              <w:rPr>
                <w:rFonts w:hint="eastAsia" w:ascii="Times New Roman" w:hAnsi="Times New Roman" w:eastAsia="仿宋_GB2312" w:cs="Times New Roman"/>
                <w:kern w:val="0"/>
                <w:sz w:val="32"/>
                <w:szCs w:val="32"/>
                <w:shd w:val="clear" w:color="auto" w:fill="FFFFFF"/>
              </w:rPr>
              <w:t>办公费</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150.48</w:t>
            </w:r>
          </w:p>
        </w:tc>
        <w:tc>
          <w:tcPr>
            <w:tcW w:w="2164"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108.39</w:t>
            </w:r>
          </w:p>
        </w:tc>
        <w:tc>
          <w:tcPr>
            <w:tcW w:w="1511"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27.97%</w:t>
            </w:r>
          </w:p>
        </w:tc>
      </w:tr>
      <w:tr>
        <w:tblPrEx>
          <w:tblCellMar>
            <w:top w:w="0" w:type="dxa"/>
            <w:left w:w="108" w:type="dxa"/>
            <w:bottom w:w="0" w:type="dxa"/>
            <w:right w:w="108" w:type="dxa"/>
          </w:tblCellMar>
        </w:tblPrEx>
        <w:trPr>
          <w:trHeight w:val="431" w:hRule="atLeast"/>
          <w:jc w:val="center"/>
        </w:trPr>
        <w:tc>
          <w:tcPr>
            <w:tcW w:w="3300"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印刷费</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8.00</w:t>
            </w:r>
          </w:p>
        </w:tc>
        <w:tc>
          <w:tcPr>
            <w:tcW w:w="2164"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9.57</w:t>
            </w:r>
          </w:p>
        </w:tc>
        <w:tc>
          <w:tcPr>
            <w:tcW w:w="1511"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19.63%</w:t>
            </w:r>
          </w:p>
        </w:tc>
      </w:tr>
      <w:tr>
        <w:tblPrEx>
          <w:tblCellMar>
            <w:top w:w="0" w:type="dxa"/>
            <w:left w:w="108" w:type="dxa"/>
            <w:bottom w:w="0" w:type="dxa"/>
            <w:right w:w="108" w:type="dxa"/>
          </w:tblCellMar>
        </w:tblPrEx>
        <w:trPr>
          <w:trHeight w:val="500" w:hRule="atLeast"/>
          <w:jc w:val="center"/>
        </w:trPr>
        <w:tc>
          <w:tcPr>
            <w:tcW w:w="3300"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水费</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3.00</w:t>
            </w:r>
          </w:p>
        </w:tc>
        <w:tc>
          <w:tcPr>
            <w:tcW w:w="2164"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3.40</w:t>
            </w:r>
          </w:p>
        </w:tc>
        <w:tc>
          <w:tcPr>
            <w:tcW w:w="1511"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13.33%</w:t>
            </w:r>
          </w:p>
        </w:tc>
      </w:tr>
      <w:tr>
        <w:tblPrEx>
          <w:tblCellMar>
            <w:top w:w="0" w:type="dxa"/>
            <w:left w:w="108" w:type="dxa"/>
            <w:bottom w:w="0" w:type="dxa"/>
            <w:right w:w="108" w:type="dxa"/>
          </w:tblCellMar>
        </w:tblPrEx>
        <w:trPr>
          <w:trHeight w:val="500" w:hRule="atLeast"/>
          <w:jc w:val="center"/>
        </w:trPr>
        <w:tc>
          <w:tcPr>
            <w:tcW w:w="3300"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电费</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12.80</w:t>
            </w:r>
          </w:p>
        </w:tc>
        <w:tc>
          <w:tcPr>
            <w:tcW w:w="2164"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9.81</w:t>
            </w:r>
          </w:p>
        </w:tc>
        <w:tc>
          <w:tcPr>
            <w:tcW w:w="1511"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23.35%</w:t>
            </w:r>
          </w:p>
        </w:tc>
      </w:tr>
      <w:tr>
        <w:tblPrEx>
          <w:tblCellMar>
            <w:top w:w="0" w:type="dxa"/>
            <w:left w:w="108" w:type="dxa"/>
            <w:bottom w:w="0" w:type="dxa"/>
            <w:right w:w="108" w:type="dxa"/>
          </w:tblCellMar>
        </w:tblPrEx>
        <w:trPr>
          <w:trHeight w:val="500" w:hRule="atLeast"/>
          <w:jc w:val="center"/>
        </w:trPr>
        <w:tc>
          <w:tcPr>
            <w:tcW w:w="3300"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邮电费</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1.32</w:t>
            </w:r>
          </w:p>
        </w:tc>
        <w:tc>
          <w:tcPr>
            <w:tcW w:w="2164"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8.62</w:t>
            </w:r>
          </w:p>
        </w:tc>
        <w:tc>
          <w:tcPr>
            <w:tcW w:w="1511"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553.03%</w:t>
            </w:r>
          </w:p>
        </w:tc>
      </w:tr>
      <w:tr>
        <w:tblPrEx>
          <w:tblCellMar>
            <w:top w:w="0" w:type="dxa"/>
            <w:left w:w="108" w:type="dxa"/>
            <w:bottom w:w="0" w:type="dxa"/>
            <w:right w:w="108" w:type="dxa"/>
          </w:tblCellMar>
        </w:tblPrEx>
        <w:trPr>
          <w:trHeight w:val="500" w:hRule="atLeast"/>
          <w:jc w:val="center"/>
        </w:trPr>
        <w:tc>
          <w:tcPr>
            <w:tcW w:w="3300"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差旅费</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38.83</w:t>
            </w:r>
          </w:p>
        </w:tc>
        <w:tc>
          <w:tcPr>
            <w:tcW w:w="2164"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53.26</w:t>
            </w:r>
          </w:p>
        </w:tc>
        <w:tc>
          <w:tcPr>
            <w:tcW w:w="1511"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37.16%</w:t>
            </w:r>
          </w:p>
        </w:tc>
      </w:tr>
      <w:tr>
        <w:tblPrEx>
          <w:tblCellMar>
            <w:top w:w="0" w:type="dxa"/>
            <w:left w:w="108" w:type="dxa"/>
            <w:bottom w:w="0" w:type="dxa"/>
            <w:right w:w="108" w:type="dxa"/>
          </w:tblCellMar>
        </w:tblPrEx>
        <w:trPr>
          <w:trHeight w:val="500" w:hRule="atLeast"/>
          <w:jc w:val="center"/>
        </w:trPr>
        <w:tc>
          <w:tcPr>
            <w:tcW w:w="3300"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维修（护）费</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101</w:t>
            </w:r>
          </w:p>
        </w:tc>
        <w:tc>
          <w:tcPr>
            <w:tcW w:w="2164"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101</w:t>
            </w:r>
          </w:p>
        </w:tc>
        <w:tc>
          <w:tcPr>
            <w:tcW w:w="1511"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0</w:t>
            </w:r>
          </w:p>
        </w:tc>
      </w:tr>
      <w:tr>
        <w:tblPrEx>
          <w:tblCellMar>
            <w:top w:w="0" w:type="dxa"/>
            <w:left w:w="108" w:type="dxa"/>
            <w:bottom w:w="0" w:type="dxa"/>
            <w:right w:w="108" w:type="dxa"/>
          </w:tblCellMar>
        </w:tblPrEx>
        <w:trPr>
          <w:trHeight w:val="500" w:hRule="atLeast"/>
          <w:jc w:val="center"/>
        </w:trPr>
        <w:tc>
          <w:tcPr>
            <w:tcW w:w="3300"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会议费</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6.62</w:t>
            </w:r>
          </w:p>
        </w:tc>
        <w:tc>
          <w:tcPr>
            <w:tcW w:w="2164"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6.29</w:t>
            </w:r>
          </w:p>
        </w:tc>
        <w:tc>
          <w:tcPr>
            <w:tcW w:w="1511"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4.98%</w:t>
            </w:r>
          </w:p>
        </w:tc>
      </w:tr>
      <w:tr>
        <w:tblPrEx>
          <w:tblCellMar>
            <w:top w:w="0" w:type="dxa"/>
            <w:left w:w="108" w:type="dxa"/>
            <w:bottom w:w="0" w:type="dxa"/>
            <w:right w:w="108" w:type="dxa"/>
          </w:tblCellMar>
        </w:tblPrEx>
        <w:trPr>
          <w:trHeight w:val="740" w:hRule="atLeast"/>
          <w:jc w:val="center"/>
        </w:trPr>
        <w:tc>
          <w:tcPr>
            <w:tcW w:w="3300" w:type="dxa"/>
            <w:tcBorders>
              <w:top w:val="single" w:color="000000" w:sz="4" w:space="0"/>
              <w:left w:val="single" w:color="000000" w:sz="4" w:space="0"/>
              <w:bottom w:val="single" w:color="000000" w:sz="4" w:space="0"/>
              <w:right w:val="single" w:color="000000" w:sz="4" w:space="0"/>
            </w:tcBorders>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公务接待费</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20.20</w:t>
            </w:r>
          </w:p>
        </w:tc>
        <w:tc>
          <w:tcPr>
            <w:tcW w:w="2164"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20.20</w:t>
            </w:r>
          </w:p>
        </w:tc>
        <w:tc>
          <w:tcPr>
            <w:tcW w:w="1511"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0</w:t>
            </w:r>
          </w:p>
        </w:tc>
      </w:tr>
      <w:tr>
        <w:tblPrEx>
          <w:tblCellMar>
            <w:top w:w="0" w:type="dxa"/>
            <w:left w:w="108" w:type="dxa"/>
            <w:bottom w:w="0" w:type="dxa"/>
            <w:right w:w="108" w:type="dxa"/>
          </w:tblCellMar>
        </w:tblPrEx>
        <w:trPr>
          <w:trHeight w:val="550" w:hRule="atLeast"/>
          <w:jc w:val="center"/>
        </w:trPr>
        <w:tc>
          <w:tcPr>
            <w:tcW w:w="3300"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ascii="Times New Roman" w:hAnsi="Times New Roman" w:eastAsia="仿宋_GB2312" w:cs="Times New Roman"/>
                <w:kern w:val="0"/>
                <w:sz w:val="32"/>
                <w:szCs w:val="32"/>
                <w:shd w:val="clear" w:color="auto" w:fill="FFFFFF"/>
              </w:rPr>
              <w:t>公务交通补贴</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25.30</w:t>
            </w:r>
          </w:p>
        </w:tc>
        <w:tc>
          <w:tcPr>
            <w:tcW w:w="2164"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26.20</w:t>
            </w:r>
          </w:p>
        </w:tc>
        <w:tc>
          <w:tcPr>
            <w:tcW w:w="1511"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sz w:val="32"/>
                <w:szCs w:val="32"/>
              </w:rPr>
              <w:t>3.56%</w:t>
            </w:r>
          </w:p>
        </w:tc>
      </w:tr>
      <w:tr>
        <w:tblPrEx>
          <w:tblCellMar>
            <w:top w:w="0" w:type="dxa"/>
            <w:left w:w="108" w:type="dxa"/>
            <w:bottom w:w="0" w:type="dxa"/>
            <w:right w:w="108" w:type="dxa"/>
          </w:tblCellMar>
        </w:tblPrEx>
        <w:trPr>
          <w:trHeight w:val="375" w:hRule="atLeast"/>
          <w:jc w:val="center"/>
        </w:trPr>
        <w:tc>
          <w:tcPr>
            <w:tcW w:w="3300"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其他商品和服务支出</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40.03</w:t>
            </w:r>
          </w:p>
        </w:tc>
        <w:tc>
          <w:tcPr>
            <w:tcW w:w="2164"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17.49</w:t>
            </w:r>
          </w:p>
        </w:tc>
        <w:tc>
          <w:tcPr>
            <w:tcW w:w="1511"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56.31%</w:t>
            </w:r>
          </w:p>
        </w:tc>
      </w:tr>
      <w:bookmarkEnd w:id="0"/>
      <w:tr>
        <w:tblPrEx>
          <w:tblCellMar>
            <w:top w:w="0" w:type="dxa"/>
            <w:left w:w="108" w:type="dxa"/>
            <w:bottom w:w="0" w:type="dxa"/>
            <w:right w:w="108" w:type="dxa"/>
          </w:tblCellMar>
        </w:tblPrEx>
        <w:trPr>
          <w:trHeight w:val="375" w:hRule="atLeast"/>
          <w:jc w:val="center"/>
        </w:trPr>
        <w:tc>
          <w:tcPr>
            <w:tcW w:w="3300"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合计</w:t>
            </w:r>
          </w:p>
        </w:tc>
        <w:tc>
          <w:tcPr>
            <w:tcW w:w="2216"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407.58</w:t>
            </w:r>
          </w:p>
        </w:tc>
        <w:tc>
          <w:tcPr>
            <w:tcW w:w="2164"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364.23</w:t>
            </w:r>
          </w:p>
        </w:tc>
        <w:tc>
          <w:tcPr>
            <w:tcW w:w="1511" w:type="dxa"/>
            <w:tcBorders>
              <w:top w:val="single" w:color="000000" w:sz="4" w:space="0"/>
              <w:left w:val="single" w:color="000000" w:sz="4" w:space="0"/>
              <w:bottom w:val="single" w:color="000000" w:sz="4" w:space="0"/>
              <w:right w:val="single" w:color="000000" w:sz="4" w:space="0"/>
            </w:tcBorders>
            <w:noWrap/>
            <w:vAlign w:val="center"/>
          </w:tcPr>
          <w:p>
            <w:pPr>
              <w:spacing w:line="576" w:lineRule="exact"/>
              <w:jc w:val="center"/>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10.64%</w:t>
            </w:r>
          </w:p>
        </w:tc>
      </w:tr>
    </w:tbl>
    <w:p>
      <w:pPr>
        <w:spacing w:line="576" w:lineRule="exact"/>
        <w:ind w:firstLine="640" w:firstLineChars="200"/>
        <w:rPr>
          <w:rFonts w:ascii="Times New Roman" w:hAnsi="Times New Roman" w:eastAsia="仿宋_GB2312" w:cs="Times New Roman"/>
          <w:kern w:val="0"/>
          <w:sz w:val="32"/>
          <w:szCs w:val="32"/>
          <w:shd w:val="clear" w:color="auto" w:fill="FFFFFF"/>
        </w:rPr>
      </w:pPr>
      <w:r>
        <w:rPr>
          <w:rFonts w:hint="eastAsia" w:ascii="Times New Roman" w:hAnsi="Times New Roman" w:eastAsia="仿宋_GB2312" w:cs="Times New Roman"/>
          <w:kern w:val="0"/>
          <w:sz w:val="32"/>
          <w:szCs w:val="32"/>
          <w:shd w:val="clear" w:color="auto" w:fill="FFFFFF"/>
        </w:rPr>
        <w:t>按照权重不同综合计算，预决算偏差度为：10.64%。</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zh-CN"/>
        </w:rPr>
        <w:t>（</w:t>
      </w:r>
      <w:r>
        <w:rPr>
          <w:rFonts w:hint="eastAsia" w:ascii="Times New Roman" w:hAnsi="Times New Roman" w:eastAsia="仿宋_GB2312" w:cs="Times New Roman"/>
          <w:sz w:val="32"/>
          <w:szCs w:val="32"/>
          <w:lang w:bidi="zh-CN"/>
        </w:rPr>
        <w:t>2</w:t>
      </w:r>
      <w:r>
        <w:rPr>
          <w:rFonts w:hint="eastAsia" w:ascii="仿宋_GB2312" w:hAnsi="仿宋_GB2312" w:eastAsia="仿宋_GB2312" w:cs="仿宋_GB2312"/>
          <w:sz w:val="32"/>
          <w:szCs w:val="32"/>
          <w:lang w:bidi="zh-CN"/>
        </w:rPr>
        <w:t>）及时处置：</w:t>
      </w:r>
      <w:r>
        <w:rPr>
          <w:rFonts w:hint="eastAsia" w:ascii="Times New Roman" w:hAnsi="Times New Roman" w:eastAsia="仿宋_GB2312" w:cs="Times New Roman"/>
          <w:kern w:val="0"/>
          <w:sz w:val="32"/>
          <w:szCs w:val="32"/>
          <w:shd w:val="clear" w:color="auto" w:fill="FFFFFF"/>
        </w:rPr>
        <w:t>按照《广元市昭化区预算绩效事中运行监控管理暂行办法》（昭府办函</w:t>
      </w:r>
      <w:r>
        <w:rPr>
          <w:rFonts w:hint="eastAsia" w:ascii="Times New Roman" w:hAnsi="Times New Roman" w:eastAsia="仿宋_GB2312" w:cs="Times New Roman"/>
          <w:sz w:val="32"/>
          <w:szCs w:val="32"/>
        </w:rPr>
        <w:t>〔2022〕37</w:t>
      </w:r>
      <w:r>
        <w:rPr>
          <w:rFonts w:hint="eastAsia" w:ascii="Times New Roman" w:hAnsi="Times New Roman" w:eastAsia="仿宋_GB2312" w:cs="Times New Roman"/>
          <w:kern w:val="0"/>
          <w:sz w:val="32"/>
          <w:szCs w:val="32"/>
          <w:shd w:val="clear" w:color="auto" w:fill="FFFFFF"/>
        </w:rPr>
        <w:t>号）的要求，按时完成预算绩效运行监控，将绩效监控结果应用到预算调整，合理安排</w:t>
      </w:r>
      <w:r>
        <w:rPr>
          <w:rFonts w:ascii="Times New Roman" w:hAnsi="Times New Roman" w:eastAsia="仿宋_GB2312" w:cs="Times New Roman"/>
          <w:kern w:val="0"/>
          <w:sz w:val="32"/>
          <w:szCs w:val="32"/>
          <w:shd w:val="clear" w:color="auto" w:fill="FFFFFF"/>
        </w:rPr>
        <w:t>预算执行进度，提高资金使用绩效</w:t>
      </w:r>
      <w:r>
        <w:rPr>
          <w:rFonts w:hint="eastAsia" w:ascii="Times New Roman" w:hAnsi="Times New Roman" w:eastAsia="仿宋_GB2312" w:cs="Times New Roman"/>
          <w:kern w:val="0"/>
          <w:sz w:val="32"/>
          <w:szCs w:val="32"/>
          <w:shd w:val="clear" w:color="auto" w:fill="FFFFFF"/>
        </w:rPr>
        <w:t>。</w:t>
      </w:r>
      <w:r>
        <w:rPr>
          <w:rFonts w:hint="eastAsia" w:ascii="Times New Roman" w:hAnsi="Times New Roman" w:eastAsia="仿宋_GB2312" w:cs="Times New Roman"/>
          <w:sz w:val="32"/>
          <w:szCs w:val="32"/>
        </w:rPr>
        <w:t>2022</w:t>
      </w:r>
      <w:r>
        <w:rPr>
          <w:rFonts w:hint="eastAsia" w:ascii="Times New Roman" w:hAnsi="Times New Roman" w:eastAsia="仿宋_GB2312" w:cs="Times New Roman"/>
          <w:kern w:val="0"/>
          <w:sz w:val="32"/>
          <w:szCs w:val="32"/>
          <w:shd w:val="clear" w:color="auto" w:fill="FFFFFF"/>
        </w:rPr>
        <w:t>年</w:t>
      </w:r>
      <w:r>
        <w:rPr>
          <w:rFonts w:hint="eastAsia" w:ascii="Times New Roman" w:hAnsi="Times New Roman" w:eastAsia="仿宋_GB2312" w:cs="Times New Roman"/>
          <w:kern w:val="0"/>
          <w:sz w:val="32"/>
          <w:szCs w:val="32"/>
          <w:shd w:val="clear" w:color="auto" w:fill="FFFFFF"/>
          <w:lang w:val="zh-CN"/>
        </w:rPr>
        <w:t>绩效监控调整取消额和结余注销额为零。</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zh-CN"/>
        </w:rPr>
        <w:t>（</w:t>
      </w:r>
      <w:r>
        <w:rPr>
          <w:rFonts w:hint="eastAsia" w:ascii="Times New Roman" w:hAnsi="Times New Roman" w:eastAsia="仿宋_GB2312" w:cs="Times New Roman"/>
          <w:sz w:val="32"/>
          <w:szCs w:val="32"/>
          <w:lang w:bidi="zh-CN"/>
        </w:rPr>
        <w:t>3</w:t>
      </w:r>
      <w:r>
        <w:rPr>
          <w:rFonts w:hint="eastAsia" w:ascii="仿宋_GB2312" w:hAnsi="仿宋_GB2312" w:eastAsia="仿宋_GB2312" w:cs="仿宋_GB2312"/>
          <w:sz w:val="32"/>
          <w:szCs w:val="32"/>
          <w:lang w:bidi="zh-CN"/>
        </w:rPr>
        <w:t>）执行进度：</w:t>
      </w:r>
      <w:r>
        <w:rPr>
          <w:rFonts w:hint="eastAsia" w:ascii="Times New Roman" w:hAnsi="Times New Roman" w:eastAsia="仿宋_GB2312" w:cs="Times New Roman"/>
          <w:kern w:val="0"/>
          <w:sz w:val="32"/>
          <w:szCs w:val="32"/>
          <w:shd w:val="clear" w:color="auto" w:fill="FFFFFF"/>
          <w:lang w:val="zh-CN"/>
        </w:rPr>
        <w:t>部门预算资金在财政资金下拨后及时支出，总体来看部门预算执行进度在6、9、11月达到序时进度的80%、90%、90%，即实际支出进度分别达到40%、67.5%、82.5%。</w:t>
      </w:r>
    </w:p>
    <w:p>
      <w:pPr>
        <w:pStyle w:val="8"/>
        <w:spacing w:before="93" w:line="576" w:lineRule="exact"/>
        <w:ind w:firstLine="640" w:firstLineChars="200"/>
        <w:rPr>
          <w:rFonts w:hAnsi="仿宋_GB2312" w:cs="仿宋_GB2312"/>
          <w:sz w:val="32"/>
          <w:szCs w:val="32"/>
          <w:lang w:bidi="zh-CN"/>
        </w:rPr>
      </w:pPr>
      <w:r>
        <w:rPr>
          <w:rFonts w:hint="eastAsia" w:ascii="Times New Roman"/>
          <w:sz w:val="32"/>
          <w:szCs w:val="32"/>
          <w:lang w:bidi="zh-CN"/>
        </w:rPr>
        <w:t>3</w:t>
      </w:r>
      <w:r>
        <w:rPr>
          <w:rFonts w:hint="eastAsia" w:hAnsi="仿宋_GB2312" w:cs="仿宋_GB2312"/>
          <w:sz w:val="32"/>
          <w:szCs w:val="32"/>
          <w:lang w:bidi="zh-CN"/>
        </w:rPr>
        <w:t>、完成效率</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zh-CN"/>
        </w:rPr>
        <w:t>（</w:t>
      </w:r>
      <w:r>
        <w:rPr>
          <w:rFonts w:hint="eastAsia" w:ascii="Times New Roman" w:hAnsi="Times New Roman" w:eastAsia="仿宋_GB2312" w:cs="Times New Roman"/>
          <w:sz w:val="32"/>
          <w:szCs w:val="32"/>
          <w:lang w:bidi="zh-CN"/>
        </w:rPr>
        <w:t>1</w:t>
      </w:r>
      <w:r>
        <w:rPr>
          <w:rFonts w:hint="eastAsia" w:ascii="仿宋_GB2312" w:hAnsi="仿宋_GB2312" w:eastAsia="仿宋_GB2312" w:cs="仿宋_GB2312"/>
          <w:sz w:val="32"/>
          <w:szCs w:val="32"/>
          <w:lang w:bidi="zh-CN"/>
        </w:rPr>
        <w:t>）预算完成情况：</w:t>
      </w:r>
      <w:r>
        <w:rPr>
          <w:rFonts w:hint="eastAsia" w:ascii="Times New Roman" w:hAnsi="Times New Roman" w:eastAsia="仿宋_GB2312" w:cs="Times New Roman"/>
          <w:kern w:val="0"/>
          <w:sz w:val="32"/>
          <w:szCs w:val="32"/>
          <w:shd w:val="clear" w:color="auto" w:fill="FFFFFF"/>
        </w:rPr>
        <w:t>2022年部门预算项目执行进度均达到100%。</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bidi="zh-CN"/>
        </w:rPr>
        <w:t>（</w:t>
      </w:r>
      <w:r>
        <w:rPr>
          <w:rFonts w:hint="eastAsia" w:ascii="Times New Roman" w:hAnsi="Times New Roman" w:eastAsia="仿宋_GB2312" w:cs="Times New Roman"/>
          <w:sz w:val="32"/>
          <w:szCs w:val="32"/>
          <w:lang w:bidi="zh-CN"/>
        </w:rPr>
        <w:t>2</w:t>
      </w:r>
      <w:r>
        <w:rPr>
          <w:rFonts w:hint="eastAsia" w:ascii="仿宋_GB2312" w:hAnsi="仿宋_GB2312" w:eastAsia="仿宋_GB2312" w:cs="仿宋_GB2312"/>
          <w:sz w:val="32"/>
          <w:szCs w:val="32"/>
          <w:lang w:bidi="zh-CN"/>
        </w:rPr>
        <w:t>）资金结余（低效无效率）：</w:t>
      </w:r>
      <w:r>
        <w:rPr>
          <w:rFonts w:hint="eastAsia" w:ascii="Times New Roman" w:hAnsi="Times New Roman" w:eastAsia="仿宋_GB2312" w:cs="Times New Roman"/>
          <w:kern w:val="0"/>
          <w:sz w:val="32"/>
          <w:szCs w:val="32"/>
          <w:shd w:val="clear" w:color="auto" w:fill="FFFFFF"/>
        </w:rPr>
        <w:t>2022</w:t>
      </w:r>
      <w:r>
        <w:rPr>
          <w:rFonts w:hint="eastAsia" w:ascii="仿宋_GB2312" w:hAnsi="仿宋_GB2312" w:eastAsia="仿宋_GB2312" w:cs="仿宋_GB2312"/>
          <w:sz w:val="32"/>
          <w:szCs w:val="32"/>
          <w:lang w:bidi="zh-CN"/>
        </w:rPr>
        <w:t>年度我单位预算金额为</w:t>
      </w:r>
      <w:r>
        <w:rPr>
          <w:rFonts w:hint="eastAsia" w:ascii="Times New Roman" w:hAnsi="Times New Roman" w:eastAsia="仿宋_GB2312" w:cs="Times New Roman"/>
          <w:kern w:val="0"/>
          <w:sz w:val="32"/>
          <w:szCs w:val="32"/>
          <w:shd w:val="clear" w:color="auto" w:fill="FFFFFF"/>
        </w:rPr>
        <w:t>1672.04</w:t>
      </w:r>
      <w:r>
        <w:rPr>
          <w:rFonts w:hint="eastAsia" w:ascii="仿宋_GB2312" w:hAnsi="仿宋_GB2312" w:eastAsia="仿宋_GB2312" w:cs="仿宋_GB2312"/>
          <w:sz w:val="32"/>
          <w:szCs w:val="32"/>
          <w:lang w:bidi="zh-CN"/>
        </w:rPr>
        <w:t>万元，预算执行金额为</w:t>
      </w:r>
      <w:r>
        <w:rPr>
          <w:rFonts w:hint="eastAsia" w:ascii="Times New Roman" w:hAnsi="Times New Roman" w:eastAsia="仿宋_GB2312" w:cs="Times New Roman"/>
          <w:kern w:val="0"/>
          <w:sz w:val="32"/>
          <w:szCs w:val="32"/>
          <w:shd w:val="clear" w:color="auto" w:fill="FFFFFF"/>
        </w:rPr>
        <w:t>1741.14</w:t>
      </w:r>
      <w:r>
        <w:rPr>
          <w:rFonts w:hint="eastAsia" w:ascii="仿宋_GB2312" w:hAnsi="仿宋_GB2312" w:eastAsia="仿宋_GB2312" w:cs="仿宋_GB2312"/>
          <w:sz w:val="32"/>
          <w:szCs w:val="32"/>
          <w:lang w:bidi="zh-CN"/>
        </w:rPr>
        <w:t>万元，</w:t>
      </w:r>
      <w:r>
        <w:rPr>
          <w:rFonts w:hint="eastAsia" w:ascii="Times New Roman" w:hAnsi="Times New Roman" w:eastAsia="仿宋_GB2312" w:cs="Times New Roman"/>
          <w:kern w:val="0"/>
          <w:sz w:val="32"/>
          <w:szCs w:val="32"/>
          <w:shd w:val="clear" w:color="auto" w:fill="FFFFFF"/>
        </w:rPr>
        <w:t>指标结转金额为190.96万元,资金结余率为11.42%。</w:t>
      </w:r>
    </w:p>
    <w:p>
      <w:pPr>
        <w:spacing w:line="576" w:lineRule="exact"/>
        <w:ind w:firstLine="640" w:firstLineChars="200"/>
      </w:pPr>
      <w:r>
        <w:rPr>
          <w:rFonts w:hint="eastAsia" w:ascii="仿宋_GB2312" w:hAnsi="仿宋_GB2312" w:eastAsia="仿宋_GB2312" w:cs="仿宋_GB2312"/>
          <w:sz w:val="32"/>
          <w:szCs w:val="32"/>
          <w:lang w:bidi="zh-CN"/>
        </w:rPr>
        <w:t>（</w:t>
      </w:r>
      <w:r>
        <w:rPr>
          <w:rFonts w:hint="eastAsia" w:ascii="Times New Roman" w:hAnsi="Times New Roman" w:eastAsia="仿宋_GB2312" w:cs="Times New Roman"/>
          <w:sz w:val="32"/>
          <w:szCs w:val="32"/>
          <w:lang w:bidi="zh-CN"/>
        </w:rPr>
        <w:t>3</w:t>
      </w:r>
      <w:r>
        <w:rPr>
          <w:rFonts w:hint="eastAsia" w:ascii="仿宋_GB2312" w:hAnsi="仿宋_GB2312" w:eastAsia="仿宋_GB2312" w:cs="仿宋_GB2312"/>
          <w:sz w:val="32"/>
          <w:szCs w:val="32"/>
          <w:lang w:bidi="zh-CN"/>
        </w:rPr>
        <w:t>）违规记录等情况：</w:t>
      </w:r>
      <w:r>
        <w:rPr>
          <w:rFonts w:hint="eastAsia" w:ascii="Times New Roman" w:hAnsi="Times New Roman" w:eastAsia="仿宋_GB2312" w:cs="Times New Roman"/>
          <w:kern w:val="0"/>
          <w:sz w:val="32"/>
          <w:szCs w:val="32"/>
          <w:shd w:val="clear" w:color="auto" w:fill="FFFFFF"/>
        </w:rPr>
        <w:t>2022年度我单位未收到</w:t>
      </w:r>
      <w:r>
        <w:rPr>
          <w:rFonts w:hint="eastAsia" w:ascii="Times New Roman" w:hAnsi="Times New Roman" w:eastAsia="仿宋_GB2312" w:cs="Times New Roman"/>
          <w:kern w:val="0"/>
          <w:sz w:val="32"/>
          <w:szCs w:val="32"/>
          <w:shd w:val="clear" w:color="auto" w:fill="FFFFFF"/>
          <w:lang w:val="zh-CN"/>
        </w:rPr>
        <w:t>审计监督、财政检查反映单位上一年度部门预算管理不合规的情况，</w:t>
      </w:r>
      <w:r>
        <w:rPr>
          <w:rFonts w:hint="eastAsia" w:ascii="Times New Roman" w:hAnsi="Times New Roman" w:eastAsia="仿宋_GB2312" w:cs="Times New Roman"/>
          <w:kern w:val="0"/>
          <w:sz w:val="32"/>
          <w:szCs w:val="32"/>
          <w:shd w:val="clear" w:color="auto" w:fill="FFFFFF"/>
        </w:rPr>
        <w:t>未发现部门预算管理方面违纪违规问题。</w:t>
      </w:r>
    </w:p>
    <w:p>
      <w:pPr>
        <w:spacing w:line="576" w:lineRule="exact"/>
        <w:ind w:firstLine="643" w:firstLineChars="200"/>
        <w:jc w:val="left"/>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（二）结果应用公开情况</w:t>
      </w:r>
    </w:p>
    <w:p>
      <w:pPr>
        <w:spacing w:line="576" w:lineRule="exact"/>
        <w:ind w:firstLine="640" w:firstLineChars="200"/>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内部应用：我单位明确</w:t>
      </w:r>
      <w:r>
        <w:rPr>
          <w:rFonts w:hint="eastAsia" w:ascii="仿宋_GB2312" w:hAnsi="仿宋_GB2312" w:eastAsia="仿宋_GB2312" w:cs="仿宋_GB2312"/>
          <w:sz w:val="32"/>
          <w:szCs w:val="32"/>
          <w:lang w:val="zh-CN" w:bidi="zh-CN"/>
        </w:rPr>
        <w:t>将内设机构绩效自评纳入考核体系，建立了对内设机构预算与绩效挂钩机制。</w:t>
      </w:r>
    </w:p>
    <w:p>
      <w:pPr>
        <w:spacing w:line="576" w:lineRule="exact"/>
        <w:ind w:firstLine="640" w:firstLineChars="200"/>
        <w:rPr>
          <w:rFonts w:ascii="Times New Roman" w:hAnsi="Times New Roman" w:eastAsia="仿宋_GB2312" w:cs="Times New Roman"/>
          <w:kern w:val="0"/>
          <w:sz w:val="32"/>
          <w:szCs w:val="32"/>
          <w:shd w:val="clear" w:color="auto" w:fill="FFFFFF"/>
        </w:rPr>
      </w:pPr>
      <w:r>
        <w:rPr>
          <w:rFonts w:hint="eastAsia" w:ascii="仿宋_GB2312" w:hAnsi="仿宋_GB2312" w:eastAsia="仿宋_GB2312" w:cs="仿宋_GB2312"/>
          <w:sz w:val="32"/>
          <w:szCs w:val="32"/>
          <w:lang w:bidi="zh-CN"/>
        </w:rPr>
        <w:t>自评公开：</w:t>
      </w:r>
      <w:r>
        <w:rPr>
          <w:rFonts w:hint="eastAsia" w:ascii="Times New Roman" w:hAnsi="Times New Roman" w:eastAsia="仿宋_GB2312" w:cs="Times New Roman"/>
          <w:kern w:val="0"/>
          <w:sz w:val="32"/>
          <w:szCs w:val="32"/>
          <w:shd w:val="clear" w:color="auto" w:fill="FFFFFF"/>
        </w:rPr>
        <w:t>按照财政部门的管理要求，我单位将部门整体绩效自评情况和自行组织的评价情况及时通过</w:t>
      </w:r>
      <w:r>
        <w:rPr>
          <w:rFonts w:ascii="Times New Roman" w:hAnsi="Times New Roman" w:eastAsia="仿宋_GB2312" w:cs="Times New Roman"/>
          <w:kern w:val="0"/>
          <w:sz w:val="32"/>
          <w:szCs w:val="32"/>
          <w:shd w:val="clear" w:color="auto" w:fill="FFFFFF"/>
        </w:rPr>
        <w:t>昭化区</w:t>
      </w:r>
      <w:r>
        <w:rPr>
          <w:rFonts w:hint="eastAsia" w:ascii="Times New Roman" w:hAnsi="Times New Roman" w:eastAsia="仿宋_GB2312" w:cs="Times New Roman"/>
          <w:kern w:val="0"/>
          <w:sz w:val="32"/>
          <w:szCs w:val="32"/>
          <w:shd w:val="clear" w:color="auto" w:fill="FFFFFF"/>
        </w:rPr>
        <w:t>人民</w:t>
      </w:r>
      <w:r>
        <w:rPr>
          <w:rFonts w:ascii="Times New Roman" w:hAnsi="Times New Roman" w:eastAsia="仿宋_GB2312" w:cs="Times New Roman"/>
          <w:kern w:val="0"/>
          <w:sz w:val="32"/>
          <w:szCs w:val="32"/>
          <w:shd w:val="clear" w:color="auto" w:fill="FFFFFF"/>
        </w:rPr>
        <w:t>政府网站</w:t>
      </w:r>
      <w:r>
        <w:rPr>
          <w:rFonts w:hint="eastAsia" w:ascii="Times New Roman" w:hAnsi="Times New Roman" w:eastAsia="仿宋_GB2312" w:cs="Times New Roman"/>
          <w:kern w:val="0"/>
          <w:sz w:val="32"/>
          <w:szCs w:val="32"/>
          <w:shd w:val="clear" w:color="auto" w:fill="FFFFFF"/>
        </w:rPr>
        <w:t>随同单位决算向社会公开。</w:t>
      </w:r>
    </w:p>
    <w:p>
      <w:pPr>
        <w:spacing w:line="576" w:lineRule="exact"/>
        <w:ind w:firstLine="640" w:firstLineChars="200"/>
        <w:rPr>
          <w:rFonts w:ascii="Times New Roman" w:hAnsi="Times New Roman" w:eastAsia="仿宋_GB2312" w:cs="Times New Roman"/>
          <w:kern w:val="0"/>
          <w:sz w:val="32"/>
          <w:szCs w:val="32"/>
          <w:shd w:val="clear" w:color="auto" w:fill="FFFFFF"/>
        </w:rPr>
      </w:pPr>
      <w:r>
        <w:rPr>
          <w:rFonts w:hint="eastAsia" w:ascii="仿宋_GB2312" w:hAnsi="仿宋_GB2312" w:eastAsia="仿宋_GB2312" w:cs="仿宋_GB2312"/>
          <w:sz w:val="32"/>
          <w:szCs w:val="32"/>
          <w:lang w:bidi="zh-CN"/>
        </w:rPr>
        <w:t>问题整改和应用反馈等情况：</w:t>
      </w:r>
      <w:r>
        <w:rPr>
          <w:rFonts w:hint="eastAsia" w:ascii="Times New Roman" w:hAnsi="Times New Roman" w:eastAsia="仿宋_GB2312" w:cs="Times New Roman"/>
          <w:kern w:val="0"/>
          <w:sz w:val="32"/>
          <w:szCs w:val="32"/>
          <w:shd w:val="clear" w:color="auto" w:fill="FFFFFF"/>
        </w:rPr>
        <w:t>2022年整体支出绩效评价和项目支出绩效评价，我单位就存在的问题进行整改落实，</w:t>
      </w:r>
      <w:r>
        <w:rPr>
          <w:rFonts w:ascii="Times New Roman" w:hAnsi="Times New Roman" w:eastAsia="仿宋_GB2312" w:cs="Times New Roman"/>
          <w:kern w:val="0"/>
          <w:sz w:val="32"/>
          <w:szCs w:val="32"/>
          <w:shd w:val="clear" w:color="auto" w:fill="FFFFFF"/>
        </w:rPr>
        <w:t>严格执行财经制度和管理规定，按时完成预算执行进度，严格控制、合理利用各项经费，鼓励合法合规的经费开支，按要求进行预算管理，不断完善资产管理制度。</w:t>
      </w:r>
    </w:p>
    <w:p>
      <w:pPr>
        <w:spacing w:line="576"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（三）自评质量</w:t>
      </w:r>
    </w:p>
    <w:p>
      <w:pPr>
        <w:spacing w:line="576" w:lineRule="exact"/>
        <w:ind w:firstLine="640" w:firstLineChars="200"/>
        <w:rPr>
          <w:rFonts w:ascii="仿宋_GB2312" w:hAnsi="仿宋_GB2312" w:eastAsia="仿宋_GB2312" w:cs="仿宋_GB2312"/>
          <w:sz w:val="32"/>
          <w:szCs w:val="32"/>
          <w:lang w:bidi="zh-CN"/>
        </w:rPr>
      </w:pPr>
      <w:r>
        <w:rPr>
          <w:rFonts w:hint="eastAsia" w:ascii="仿宋_GB2312" w:hAnsi="仿宋_GB2312" w:eastAsia="仿宋_GB2312" w:cs="仿宋_GB2312"/>
          <w:sz w:val="32"/>
          <w:szCs w:val="32"/>
          <w:lang w:bidi="zh-CN"/>
        </w:rPr>
        <w:t>包括评价部门整体支出自评准确情况。我镇本次绩效自评得分为</w:t>
      </w:r>
      <w:r>
        <w:rPr>
          <w:rFonts w:hint="eastAsia" w:ascii="Times New Roman" w:hAnsi="Times New Roman" w:eastAsia="仿宋_GB2312" w:cs="Times New Roman"/>
          <w:sz w:val="32"/>
          <w:szCs w:val="32"/>
        </w:rPr>
        <w:t>95</w:t>
      </w:r>
      <w:r>
        <w:rPr>
          <w:rFonts w:hint="eastAsia" w:ascii="仿宋_GB2312" w:hAnsi="仿宋_GB2312" w:eastAsia="仿宋_GB2312" w:cs="仿宋_GB2312"/>
          <w:sz w:val="32"/>
          <w:szCs w:val="32"/>
          <w:lang w:bidi="zh-CN"/>
        </w:rPr>
        <w:t>分。通过资料收集、绩效评价、工作总结及撰写报告等几个阶段，认真、准确填写自评数据表，形成详实的自评报告，并在</w:t>
      </w:r>
      <w:r>
        <w:rPr>
          <w:rFonts w:hint="eastAsia" w:ascii="Times New Roman" w:hAnsi="Times New Roman" w:eastAsia="仿宋_GB2312" w:cs="Times New Roman"/>
          <w:sz w:val="32"/>
          <w:szCs w:val="32"/>
        </w:rPr>
        <w:t>2023</w:t>
      </w:r>
      <w:r>
        <w:rPr>
          <w:rFonts w:hint="eastAsia" w:ascii="仿宋_GB2312" w:hAnsi="仿宋_GB2312" w:eastAsia="仿宋_GB2312" w:cs="仿宋_GB2312"/>
          <w:sz w:val="32"/>
          <w:szCs w:val="32"/>
          <w:lang w:bidi="zh-CN"/>
        </w:rPr>
        <w:t>年</w:t>
      </w:r>
      <w:r>
        <w:rPr>
          <w:rFonts w:hint="eastAsia" w:ascii="Times New Roman" w:hAnsi="Times New Roman" w:eastAsia="仿宋_GB2312" w:cs="Times New Roman"/>
          <w:sz w:val="32"/>
          <w:szCs w:val="32"/>
        </w:rPr>
        <w:t>4</w:t>
      </w:r>
      <w:r>
        <w:rPr>
          <w:rFonts w:hint="eastAsia" w:ascii="仿宋_GB2312" w:hAnsi="仿宋_GB2312" w:eastAsia="仿宋_GB2312" w:cs="仿宋_GB2312"/>
          <w:sz w:val="32"/>
          <w:szCs w:val="32"/>
          <w:lang w:bidi="zh-CN"/>
        </w:rPr>
        <w:t>月</w:t>
      </w:r>
      <w:r>
        <w:rPr>
          <w:rFonts w:hint="eastAsia" w:ascii="Times New Roman" w:hAnsi="Times New Roman" w:eastAsia="仿宋_GB2312" w:cs="Times New Roman"/>
          <w:sz w:val="32"/>
          <w:szCs w:val="32"/>
        </w:rPr>
        <w:t>20</w:t>
      </w:r>
      <w:r>
        <w:rPr>
          <w:rFonts w:hint="eastAsia" w:ascii="仿宋_GB2312" w:hAnsi="仿宋_GB2312" w:eastAsia="仿宋_GB2312" w:cs="仿宋_GB2312"/>
          <w:sz w:val="32"/>
          <w:szCs w:val="32"/>
          <w:lang w:bidi="zh-CN"/>
        </w:rPr>
        <w:t>日之前完成自评工作，对所报送自评材料的真实性、完整性、一致性、规范性负责。</w:t>
      </w:r>
    </w:p>
    <w:p>
      <w:pPr>
        <w:spacing w:line="576" w:lineRule="exact"/>
        <w:ind w:firstLine="640" w:firstLineChars="200"/>
        <w:rPr>
          <w:rFonts w:ascii="黑体" w:hAnsi="黑体" w:eastAsia="黑体" w:cs="黑体"/>
          <w:bCs/>
          <w:sz w:val="32"/>
          <w:szCs w:val="32"/>
        </w:rPr>
      </w:pPr>
      <w:r>
        <w:rPr>
          <w:rFonts w:hint="eastAsia" w:ascii="黑体" w:hAnsi="黑体" w:eastAsia="黑体" w:cs="黑体"/>
          <w:bCs/>
          <w:sz w:val="32"/>
          <w:szCs w:val="32"/>
        </w:rPr>
        <w:t>四、评价结论及建议</w:t>
      </w:r>
    </w:p>
    <w:p>
      <w:pPr>
        <w:spacing w:line="576"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（一）自评结论</w:t>
      </w:r>
    </w:p>
    <w:p>
      <w:pPr>
        <w:snapToGrid w:val="0"/>
        <w:spacing w:line="576" w:lineRule="exact"/>
        <w:ind w:firstLine="640" w:firstLineChars="200"/>
        <w:rPr>
          <w:rFonts w:ascii="Times New Roman" w:hAnsi="Times New Roman" w:eastAsia="楷体_GB2312" w:cs="楷体_GB2312"/>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镇</w:t>
      </w:r>
      <w:r>
        <w:rPr>
          <w:rFonts w:ascii="Times New Roman" w:hAnsi="Times New Roman" w:eastAsia="仿宋_GB2312" w:cs="Times New Roman"/>
          <w:sz w:val="32"/>
          <w:szCs w:val="32"/>
        </w:rPr>
        <w:t>按照《广元市昭化区人民政府办公室关于印发&lt;关于印发《广元市昭化区财政预算绩效管理办法》《广元市昭化区财政预算事前绩效评估管理暂行办法》《广元市昭化区预算绩效事中运行监控管理暂行办法》《广元市昭化区财政支出事后绩效评价管理办法》的通知&gt;的通知》(昭府办函〔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37</w:t>
      </w:r>
      <w:r>
        <w:rPr>
          <w:rFonts w:ascii="Times New Roman" w:hAnsi="Times New Roman" w:eastAsia="仿宋_GB2312" w:cs="Times New Roman"/>
          <w:sz w:val="32"/>
          <w:szCs w:val="32"/>
        </w:rPr>
        <w:t>号)绩效评价指标体系开展绩效评价</w:t>
      </w:r>
      <w:r>
        <w:rPr>
          <w:rFonts w:hint="eastAsia" w:ascii="Times New Roman" w:hAnsi="Times New Roman" w:eastAsia="仿宋_GB2312" w:cs="Times New Roman"/>
          <w:sz w:val="32"/>
          <w:szCs w:val="32"/>
        </w:rPr>
        <w:t>，</w:t>
      </w:r>
      <w:r>
        <w:rPr>
          <w:rFonts w:ascii="Times New Roman" w:hAnsi="Times New Roman" w:eastAsia="仿宋_GB2312" w:cs="仿宋_GB2312"/>
          <w:sz w:val="32"/>
          <w:szCs w:val="32"/>
          <w:shd w:val="clear" w:color="auto" w:fill="FFFFFF"/>
        </w:rPr>
        <w:t>在数据准确、资料齐全、佐证充分基础上综合自评得分为</w:t>
      </w:r>
      <w:r>
        <w:rPr>
          <w:rFonts w:hint="eastAsia" w:ascii="Times New Roman" w:hAnsi="Times New Roman" w:eastAsia="仿宋_GB2312" w:cs="Times New Roman"/>
          <w:sz w:val="32"/>
          <w:szCs w:val="32"/>
        </w:rPr>
        <w:t>95</w:t>
      </w:r>
      <w:r>
        <w:rPr>
          <w:rFonts w:ascii="Times New Roman" w:hAnsi="Times New Roman" w:eastAsia="仿宋_GB2312" w:cs="仿宋_GB2312"/>
          <w:sz w:val="32"/>
          <w:szCs w:val="32"/>
          <w:shd w:val="clear" w:color="auto" w:fill="FFFFFF"/>
        </w:rPr>
        <w:t>分。</w:t>
      </w:r>
      <w:r>
        <w:rPr>
          <w:rFonts w:ascii="Times New Roman" w:hAnsi="Times New Roman" w:eastAsia="仿宋_GB2312" w:cs="Times New Roman"/>
          <w:sz w:val="32"/>
          <w:szCs w:val="32"/>
        </w:rPr>
        <w:t>紧紧围绕党委、政府中心工作依法履职，按照保进度、重质量、求实效的要求，全面推进各项重点工作，完成了各项任务，保障了中央和省、市、县政府重大决策部署贯彻落实，促进了作风转变和自身建设，经费保障能力不断提高，经费投向科学合理，财务管理监督规范有效，经济社会效益功能明显，为维护地方经济安全发挥了积极作用</w:t>
      </w:r>
      <w:r>
        <w:rPr>
          <w:rFonts w:hint="eastAsia" w:ascii="Times New Roman" w:hAnsi="Times New Roman" w:eastAsia="仿宋_GB2312" w:cs="Times New Roman"/>
          <w:sz w:val="32"/>
          <w:szCs w:val="32"/>
        </w:rPr>
        <w:t>。根据部门整体支出绩效评价内容，本单位制定了相应的绩效目标，根据目标时时监督，自查项目进展、完成情况，全面掌握资金执行率，更好完成了2022年的绩效目标任务。</w:t>
      </w:r>
    </w:p>
    <w:p>
      <w:pPr>
        <w:spacing w:line="576"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（二）存在问题</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一是绩效管理工作不完善。单位按照预算绩效管理的要求，及时申报了绩效管理目标，但</w:t>
      </w:r>
      <w:r>
        <w:rPr>
          <w:rFonts w:hint="eastAsia" w:ascii="Times New Roman" w:hAnsi="Times New Roman" w:eastAsia="仿宋_GB2312" w:cs="仿宋_GB2312"/>
          <w:sz w:val="32"/>
          <w:szCs w:val="32"/>
          <w:shd w:val="clear" w:color="auto" w:fill="FFFFFF"/>
        </w:rPr>
        <w:t>预算目标</w:t>
      </w:r>
      <w:r>
        <w:rPr>
          <w:rFonts w:ascii="Times New Roman" w:hAnsi="Times New Roman" w:eastAsia="仿宋_GB2312" w:cs="仿宋_GB2312"/>
          <w:sz w:val="32"/>
          <w:szCs w:val="32"/>
          <w:shd w:val="clear" w:color="auto" w:fill="FFFFFF"/>
        </w:rPr>
        <w:t>执行</w:t>
      </w:r>
      <w:r>
        <w:rPr>
          <w:rFonts w:hint="eastAsia" w:ascii="Times New Roman" w:hAnsi="Times New Roman" w:eastAsia="仿宋_GB2312" w:cs="仿宋_GB2312"/>
          <w:sz w:val="32"/>
          <w:szCs w:val="32"/>
          <w:shd w:val="clear" w:color="auto" w:fill="FFFFFF"/>
        </w:rPr>
        <w:t>结果</w:t>
      </w:r>
      <w:r>
        <w:rPr>
          <w:rFonts w:ascii="Times New Roman" w:hAnsi="Times New Roman" w:eastAsia="仿宋_GB2312" w:cs="仿宋_GB2312"/>
          <w:sz w:val="32"/>
          <w:szCs w:val="32"/>
          <w:shd w:val="clear" w:color="auto" w:fill="FFFFFF"/>
        </w:rPr>
        <w:t>与项目预算绩效</w:t>
      </w:r>
      <w:r>
        <w:rPr>
          <w:rFonts w:hint="eastAsia" w:ascii="Times New Roman" w:hAnsi="Times New Roman" w:eastAsia="仿宋_GB2312" w:cs="仿宋_GB2312"/>
          <w:sz w:val="32"/>
          <w:szCs w:val="32"/>
          <w:shd w:val="clear" w:color="auto" w:fill="FFFFFF"/>
        </w:rPr>
        <w:t>计划指标内容</w:t>
      </w:r>
      <w:r>
        <w:rPr>
          <w:rFonts w:ascii="Times New Roman" w:hAnsi="Times New Roman" w:eastAsia="仿宋_GB2312" w:cs="仿宋_GB2312"/>
          <w:sz w:val="32"/>
          <w:szCs w:val="32"/>
          <w:shd w:val="clear" w:color="auto" w:fill="FFFFFF"/>
        </w:rPr>
        <w:t>存在偏差</w:t>
      </w:r>
      <w:r>
        <w:rPr>
          <w:rFonts w:hint="eastAsia" w:ascii="Times New Roman" w:hAnsi="Times New Roman" w:eastAsia="仿宋_GB2312" w:cs="仿宋_GB2312"/>
          <w:sz w:val="32"/>
          <w:szCs w:val="32"/>
          <w:shd w:val="clear" w:color="auto" w:fill="FFFFFF"/>
        </w:rPr>
        <w:t>，其主要原因是年初预算绩效目标测算不太精准，</w:t>
      </w:r>
      <w:r>
        <w:rPr>
          <w:rFonts w:hint="eastAsia" w:ascii="Times New Roman" w:hAnsi="Times New Roman" w:eastAsia="仿宋_GB2312" w:cs="仿宋_GB2312"/>
          <w:sz w:val="32"/>
          <w:szCs w:val="32"/>
        </w:rPr>
        <w:t>财政科学化、精细化管理水平有待进一步提高</w:t>
      </w:r>
      <w:r>
        <w:rPr>
          <w:rFonts w:hint="eastAsia" w:ascii="仿宋_GB2312" w:hAnsi="仿宋_GB2312" w:eastAsia="仿宋_GB2312" w:cs="仿宋_GB2312"/>
          <w:sz w:val="32"/>
          <w:szCs w:val="32"/>
        </w:rPr>
        <w:t>。</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二是资金使用效益有待进一步提高。单位制定了严格的账务管理制度，但由于业务经费紧张，受限于资金，业务工作的开展比较被动。</w:t>
      </w:r>
    </w:p>
    <w:p>
      <w:pPr>
        <w:spacing w:line="576" w:lineRule="exact"/>
        <w:ind w:firstLine="643" w:firstLineChars="20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（三）改进建议</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一是进一步加强单位内部的预算管理意识，严格按照预算编制的相关制度和要求进行预算编制，进一步提高预算编制的科学性、严谨性和可控性，加强内部预算编制的审核和预算控制指标的下达。</w:t>
      </w:r>
    </w:p>
    <w:p>
      <w:pPr>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二是加强单位财务管理，健全单位财务管理制度体系，规范单位财务行为。在费用报账支付时，按照预算规定的费用项目和用途进行资金使用审核、列报支付、财务核算，杜绝超支现象的发生。</w:t>
      </w:r>
    </w:p>
    <w:p>
      <w:pPr>
        <w:pStyle w:val="2"/>
        <w:spacing w:line="560" w:lineRule="exact"/>
        <w:ind w:left="1598" w:leftChars="304" w:hanging="960" w:hangingChars="300"/>
        <w:rPr>
          <w:rFonts w:ascii="仿宋_GB2312" w:hAnsi="仿宋_GB2312" w:eastAsia="仿宋_GB2312" w:cs="仿宋_GB2312"/>
          <w:sz w:val="32"/>
          <w:szCs w:val="32"/>
        </w:rPr>
        <w:sectPr>
          <w:footerReference r:id="rId4" w:type="default"/>
          <w:pgSz w:w="11906" w:h="16838"/>
          <w:pgMar w:top="1440" w:right="1973" w:bottom="1497" w:left="1800" w:header="851" w:footer="992" w:gutter="0"/>
          <w:cols w:space="425" w:num="1"/>
          <w:docGrid w:type="lines" w:linePitch="312" w:charSpace="0"/>
        </w:sectPr>
      </w:pPr>
      <w:r>
        <w:rPr>
          <w:rFonts w:hint="eastAsia" w:ascii="Times New Roman" w:hAnsi="Times New Roman" w:eastAsia="仿宋_GB2312" w:cs="仿宋_GB2312"/>
          <w:sz w:val="32"/>
          <w:szCs w:val="32"/>
          <w:shd w:val="clear" w:color="auto" w:fill="FFFFFF"/>
        </w:rPr>
        <w:t xml:space="preserve">附表：虎跳镇部门整体支出绩效目标自评表（2022年）  </w:t>
      </w:r>
    </w:p>
    <w:p>
      <w:pPr>
        <w:spacing w:line="500" w:lineRule="exact"/>
        <w:ind w:firstLine="3614" w:firstLineChars="1000"/>
      </w:pPr>
      <w:r>
        <w:rPr>
          <w:rFonts w:hint="eastAsia" w:ascii="宋体" w:hAnsi="宋体" w:eastAsia="宋体"/>
          <w:b/>
          <w:color w:val="000000"/>
          <w:sz w:val="36"/>
        </w:rPr>
        <w:t>虎跳镇部门整体支出绩效目标自评表</w:t>
      </w:r>
    </w:p>
    <w:p>
      <w:pPr>
        <w:spacing w:after="120" w:line="320" w:lineRule="exact"/>
        <w:jc w:val="center"/>
      </w:pPr>
      <w:r>
        <w:rPr>
          <w:rFonts w:hint="eastAsia" w:ascii="宋体" w:hAnsi="宋体" w:eastAsia="宋体"/>
          <w:color w:val="000000"/>
          <w:sz w:val="24"/>
        </w:rPr>
        <w:t>（2022年度）</w:t>
      </w:r>
      <w:r>
        <mc:AlternateContent>
          <mc:Choice Requires="wps">
            <w:drawing>
              <wp:anchor distT="0" distB="0" distL="114300" distR="114300" simplePos="0" relativeHeight="251659264" behindDoc="0" locked="0" layoutInCell="1" allowOverlap="1">
                <wp:simplePos x="0" y="0"/>
                <wp:positionH relativeFrom="page">
                  <wp:posOffset>6946900</wp:posOffset>
                </wp:positionH>
                <wp:positionV relativeFrom="paragraph">
                  <wp:posOffset>1549400</wp:posOffset>
                </wp:positionV>
                <wp:extent cx="279400" cy="165100"/>
                <wp:effectExtent l="0" t="0" r="0" b="0"/>
                <wp:wrapNone/>
                <wp:docPr id="40"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r>
                              <w:pict>
                                <v:rect id="_x0000_i1025" o:spt="1" style="height:1.5pt;width:20pt;" fillcolor="#000000" filled="t" stroked="f" coordsize="21600,21600" o:hr="t" o:hrstd="t" o:hrnoshade="t" o:hrpct="0" o:hralign="center">
                                  <v:path/>
                                  <v:fill on="t" focussize="0,0"/>
                                  <v:stroke on="f"/>
                                  <v:imagedata o:title=""/>
                                  <o:lock v:ext="edit"/>
                                  <w10:wrap type="none"/>
                                  <w10:anchorlock/>
                                </v:rect>
                              </w:pict>
                            </w:r>
                          </w:p>
                          <w:p>
                            <w:r>
                              <w:pict>
                                <v:rect id="_x0000_i1026" o:spt="1" style="height:1.5pt;width:20pt;" fillcolor="#000000" filled="t" stroked="f" coordsize="21600,21600" o:hr="t" o:hrstd="t" o:hrnoshade="t" o:hrpct="0" o:hralign="center">
                                  <v:path/>
                                  <v:fill on="t" focussize="0,0"/>
                                  <v:stroke on="f"/>
                                  <v:imagedata o:title=""/>
                                  <o:lock v:ext="edit"/>
                                  <w10:wrap type="none"/>
                                  <w10:anchorlock/>
                                </v:rect>
                              </w:pict>
                            </w:r>
                          </w:p>
                        </w:txbxContent>
                      </wps:txbx>
                      <wps:bodyPr lIns="25400" tIns="0" rIns="25400" bIns="0">
                        <a:noAutofit/>
                      </wps:bodyPr>
                    </wps:wsp>
                  </a:graphicData>
                </a:graphic>
              </wp:anchor>
            </w:drawing>
          </mc:Choice>
          <mc:Fallback>
            <w:pict>
              <v:shape id="文本框 2" o:spid="_x0000_s1026" o:spt="202" type="#_x0000_t202" style="position:absolute;left:0pt;margin-left:547pt;margin-top:122pt;height:13pt;width:22pt;mso-position-horizontal-relative:page;z-index:251659264;mso-width-relative:page;mso-height-relative:page;" filled="f" stroked="f" coordsize="21600,21600" o:gfxdata="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1Q/Kk9kAAAANAQAA&#10;DwAAAAAAAAABACAAAAAiAAAAZHJzL2Rvd25yZXYueG1sUEsBAhQAFAAAAAgAh07iQANIYJHfAQAA&#10;rQMAAA4AAAAAAAAAAQAgAAAAKAEAAGRycy9lMm9Eb2MueG1sUEsFBgAAAAAGAAYAWQEAAHkFAAAA&#10;AA==&#10;">
                <v:fill on="f" focussize="0,0"/>
                <v:stroke on="f" weight="0.5pt"/>
                <v:imagedata o:title=""/>
                <o:lock v:ext="edit" aspectratio="f"/>
                <v:textbox inset="2pt,0mm,2pt,0mm">
                  <w:txbxContent>
                    <w:p>
                      <w:r>
                        <w:pict>
                          <v:rect id="_x0000_i1025" o:spt="1" style="height:1.5pt;width:20pt;" fillcolor="#000000" filled="t" stroked="f" coordsize="21600,21600" o:hr="t" o:hrstd="t" o:hrnoshade="t" o:hrpct="0" o:hralign="center">
                            <v:path/>
                            <v:fill on="t" focussize="0,0"/>
                            <v:stroke on="f"/>
                            <v:imagedata o:title=""/>
                            <o:lock v:ext="edit"/>
                            <w10:wrap type="none"/>
                            <w10:anchorlock/>
                          </v:rect>
                        </w:pict>
                      </w:r>
                    </w:p>
                    <w:p>
                      <w:r>
                        <w:pict>
                          <v:rect id="_x0000_i1026" o:spt="1" style="height:1.5pt;width:20pt;" fillcolor="#000000" filled="t" stroked="f" coordsize="21600,21600" o:hr="t" o:hrstd="t" o:hrnoshade="t" o:hrpct="0" o:hralign="center">
                            <v:path/>
                            <v:fill on="t" focussize="0,0"/>
                            <v:stroke on="f"/>
                            <v:imagedata o:title=""/>
                            <o:lock v:ext="edit"/>
                            <w10:wrap type="none"/>
                            <w10:anchorlock/>
                          </v:rect>
                        </w:pict>
                      </w:r>
                    </w:p>
                  </w:txbxContent>
                </v:textbox>
              </v:shape>
            </w:pict>
          </mc:Fallback>
        </mc:AlternateContent>
      </w:r>
    </w:p>
    <w:tbl>
      <w:tblPr>
        <w:tblStyle w:val="18"/>
        <w:tblW w:w="13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615"/>
        <w:gridCol w:w="1255"/>
        <w:gridCol w:w="2015"/>
        <w:gridCol w:w="520"/>
        <w:gridCol w:w="1805"/>
        <w:gridCol w:w="2005"/>
        <w:gridCol w:w="170"/>
        <w:gridCol w:w="1150"/>
        <w:gridCol w:w="1485"/>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615" w:type="dxa"/>
            <w:vAlign w:val="center"/>
          </w:tcPr>
          <w:p>
            <w:pPr>
              <w:spacing w:line="255" w:lineRule="exact"/>
              <w:jc w:val="center"/>
              <w:rPr>
                <w:rFonts w:ascii="宋体" w:hAnsi="宋体" w:eastAsia="宋体" w:cs="宋体"/>
                <w:sz w:val="18"/>
                <w:szCs w:val="18"/>
              </w:rPr>
            </w:pPr>
            <w:r>
              <w:rPr>
                <w:rFonts w:hint="eastAsia" w:ascii="宋体" w:hAnsi="宋体" w:eastAsia="宋体" w:cs="宋体"/>
                <w:sz w:val="18"/>
                <w:szCs w:val="18"/>
              </w:rPr>
              <w:t>主管部门</w:t>
            </w:r>
          </w:p>
        </w:tc>
        <w:tc>
          <w:tcPr>
            <w:tcW w:w="5595" w:type="dxa"/>
            <w:gridSpan w:val="4"/>
            <w:vAlign w:val="center"/>
          </w:tcPr>
          <w:p>
            <w:pPr>
              <w:jc w:val="center"/>
              <w:rPr>
                <w:rFonts w:ascii="宋体" w:hAnsi="宋体" w:eastAsia="宋体" w:cs="宋体"/>
                <w:sz w:val="18"/>
                <w:szCs w:val="18"/>
              </w:rPr>
            </w:pPr>
            <w:r>
              <w:rPr>
                <w:rFonts w:hint="eastAsia" w:ascii="宋体" w:hAnsi="宋体" w:eastAsia="宋体" w:cs="宋体"/>
                <w:sz w:val="18"/>
                <w:szCs w:val="18"/>
              </w:rPr>
              <w:t>昭化区虎跳镇人民政府</w:t>
            </w:r>
          </w:p>
        </w:tc>
        <w:tc>
          <w:tcPr>
            <w:tcW w:w="2175" w:type="dxa"/>
            <w:gridSpan w:val="2"/>
            <w:vAlign w:val="center"/>
          </w:tcPr>
          <w:p>
            <w:pPr>
              <w:spacing w:line="255" w:lineRule="exact"/>
              <w:jc w:val="center"/>
              <w:rPr>
                <w:rFonts w:ascii="宋体" w:hAnsi="宋体" w:eastAsia="宋体" w:cs="宋体"/>
                <w:sz w:val="18"/>
                <w:szCs w:val="18"/>
              </w:rPr>
            </w:pPr>
            <w:r>
              <w:rPr>
                <w:rFonts w:hint="eastAsia" w:ascii="宋体" w:hAnsi="宋体" w:eastAsia="宋体" w:cs="宋体"/>
                <w:sz w:val="18"/>
                <w:szCs w:val="18"/>
              </w:rPr>
              <w:t>实施单位</w:t>
            </w:r>
          </w:p>
        </w:tc>
        <w:tc>
          <w:tcPr>
            <w:tcW w:w="4166" w:type="dxa"/>
            <w:gridSpan w:val="3"/>
            <w:vAlign w:val="center"/>
          </w:tcPr>
          <w:p>
            <w:pPr>
              <w:jc w:val="center"/>
              <w:rPr>
                <w:rFonts w:ascii="宋体" w:hAnsi="宋体" w:eastAsia="宋体" w:cs="宋体"/>
                <w:sz w:val="18"/>
                <w:szCs w:val="18"/>
              </w:rPr>
            </w:pPr>
            <w:r>
              <w:rPr>
                <w:rFonts w:hint="eastAsia" w:ascii="宋体" w:hAnsi="宋体" w:eastAsia="宋体" w:cs="宋体"/>
                <w:sz w:val="18"/>
                <w:szCs w:val="18"/>
              </w:rPr>
              <w:t>昭化区虎跳镇人民政府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615" w:type="dxa"/>
            <w:vMerge w:val="restart"/>
          </w:tcPr>
          <w:p>
            <w:pPr>
              <w:spacing w:before="1261" w:line="264" w:lineRule="exact"/>
              <w:ind w:left="60"/>
              <w:jc w:val="left"/>
              <w:rPr>
                <w:rFonts w:ascii="宋体" w:hAnsi="宋体" w:eastAsia="宋体" w:cs="宋体"/>
                <w:sz w:val="18"/>
                <w:szCs w:val="18"/>
              </w:rPr>
            </w:pPr>
            <w:r>
              <w:rPr>
                <w:rFonts w:hint="eastAsia" w:ascii="宋体" w:hAnsi="宋体" w:eastAsia="宋体" w:cs="宋体"/>
                <w:sz w:val="18"/>
                <w:szCs w:val="18"/>
              </w:rPr>
              <w:t>项目（政策）资金</w:t>
            </w:r>
          </w:p>
          <w:p>
            <w:pPr>
              <w:spacing w:line="280" w:lineRule="exact"/>
              <w:jc w:val="center"/>
              <w:rPr>
                <w:rFonts w:ascii="宋体" w:hAnsi="宋体" w:eastAsia="宋体" w:cs="宋体"/>
                <w:sz w:val="18"/>
                <w:szCs w:val="18"/>
              </w:rPr>
            </w:pPr>
            <w:r>
              <w:rPr>
                <w:rFonts w:hint="eastAsia" w:ascii="宋体" w:hAnsi="宋体" w:eastAsia="宋体" w:cs="宋体"/>
                <w:sz w:val="18"/>
                <w:szCs w:val="18"/>
              </w:rPr>
              <w:t>（万元）</w:t>
            </w:r>
          </w:p>
        </w:tc>
        <w:tc>
          <w:tcPr>
            <w:tcW w:w="3270" w:type="dxa"/>
            <w:gridSpan w:val="2"/>
            <w:vAlign w:val="center"/>
          </w:tcPr>
          <w:p>
            <w:pPr>
              <w:rPr>
                <w:rFonts w:ascii="宋体" w:hAnsi="宋体" w:eastAsia="宋体" w:cs="宋体"/>
                <w:sz w:val="18"/>
                <w:szCs w:val="18"/>
              </w:rPr>
            </w:pPr>
          </w:p>
        </w:tc>
        <w:tc>
          <w:tcPr>
            <w:tcW w:w="2325" w:type="dxa"/>
            <w:gridSpan w:val="2"/>
            <w:vAlign w:val="center"/>
          </w:tcPr>
          <w:p>
            <w:pPr>
              <w:spacing w:line="195" w:lineRule="exact"/>
              <w:jc w:val="center"/>
              <w:rPr>
                <w:rFonts w:ascii="宋体" w:hAnsi="宋体" w:eastAsia="宋体" w:cs="宋体"/>
                <w:sz w:val="18"/>
                <w:szCs w:val="18"/>
              </w:rPr>
            </w:pPr>
            <w:r>
              <w:rPr>
                <w:rFonts w:hint="eastAsia" w:ascii="宋体" w:hAnsi="宋体" w:eastAsia="宋体" w:cs="宋体"/>
                <w:sz w:val="18"/>
                <w:szCs w:val="18"/>
              </w:rPr>
              <w:t>年初预算数</w:t>
            </w:r>
          </w:p>
        </w:tc>
        <w:tc>
          <w:tcPr>
            <w:tcW w:w="2175" w:type="dxa"/>
            <w:gridSpan w:val="2"/>
            <w:vAlign w:val="center"/>
          </w:tcPr>
          <w:p>
            <w:pPr>
              <w:spacing w:line="195" w:lineRule="exact"/>
              <w:jc w:val="center"/>
              <w:rPr>
                <w:rFonts w:ascii="宋体" w:hAnsi="宋体" w:eastAsia="宋体" w:cs="宋体"/>
                <w:sz w:val="18"/>
                <w:szCs w:val="18"/>
              </w:rPr>
            </w:pPr>
            <w:r>
              <w:rPr>
                <w:rFonts w:hint="eastAsia" w:ascii="宋体" w:hAnsi="宋体" w:eastAsia="宋体" w:cs="宋体"/>
                <w:sz w:val="18"/>
                <w:szCs w:val="18"/>
              </w:rPr>
              <w:t>全年预算数</w:t>
            </w:r>
          </w:p>
        </w:tc>
        <w:tc>
          <w:tcPr>
            <w:tcW w:w="1150" w:type="dxa"/>
            <w:vAlign w:val="center"/>
          </w:tcPr>
          <w:p>
            <w:pPr>
              <w:spacing w:line="195" w:lineRule="exact"/>
              <w:jc w:val="center"/>
              <w:rPr>
                <w:rFonts w:ascii="宋体" w:hAnsi="宋体" w:eastAsia="宋体" w:cs="宋体"/>
                <w:sz w:val="18"/>
                <w:szCs w:val="18"/>
              </w:rPr>
            </w:pPr>
            <w:r>
              <w:rPr>
                <w:rFonts w:hint="eastAsia" w:ascii="宋体" w:hAnsi="宋体" w:eastAsia="宋体" w:cs="宋体"/>
                <w:sz w:val="18"/>
                <w:szCs w:val="18"/>
              </w:rPr>
              <w:t>全年执行数</w:t>
            </w:r>
          </w:p>
        </w:tc>
        <w:tc>
          <w:tcPr>
            <w:tcW w:w="3016" w:type="dxa"/>
            <w:gridSpan w:val="2"/>
            <w:vAlign w:val="center"/>
          </w:tcPr>
          <w:p>
            <w:pPr>
              <w:spacing w:line="270" w:lineRule="exact"/>
              <w:jc w:val="center"/>
              <w:rPr>
                <w:rFonts w:ascii="宋体" w:hAnsi="宋体" w:eastAsia="宋体" w:cs="宋体"/>
                <w:sz w:val="18"/>
                <w:szCs w:val="18"/>
              </w:rPr>
            </w:pPr>
            <w:r>
              <w:rPr>
                <w:rFonts w:hint="eastAsia" w:ascii="宋体" w:hAnsi="宋体" w:eastAsia="宋体" w:cs="宋体"/>
                <w:sz w:val="18"/>
                <w:szCs w:val="18"/>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615" w:type="dxa"/>
            <w:vMerge w:val="continue"/>
          </w:tcPr>
          <w:p>
            <w:pPr>
              <w:rPr>
                <w:rFonts w:ascii="宋体" w:hAnsi="宋体" w:eastAsia="宋体" w:cs="宋体"/>
                <w:sz w:val="18"/>
                <w:szCs w:val="18"/>
              </w:rPr>
            </w:pPr>
          </w:p>
        </w:tc>
        <w:tc>
          <w:tcPr>
            <w:tcW w:w="3270" w:type="dxa"/>
            <w:gridSpan w:val="2"/>
            <w:vAlign w:val="center"/>
          </w:tcPr>
          <w:p>
            <w:pPr>
              <w:spacing w:line="195" w:lineRule="exact"/>
              <w:jc w:val="left"/>
              <w:rPr>
                <w:rFonts w:ascii="宋体" w:hAnsi="宋体" w:eastAsia="宋体" w:cs="宋体"/>
                <w:sz w:val="18"/>
                <w:szCs w:val="18"/>
              </w:rPr>
            </w:pPr>
            <w:r>
              <w:rPr>
                <w:rFonts w:hint="eastAsia" w:ascii="宋体" w:hAnsi="宋体" w:eastAsia="宋体" w:cs="宋体"/>
                <w:sz w:val="18"/>
                <w:szCs w:val="18"/>
              </w:rPr>
              <w:t>年度资金总额</w:t>
            </w:r>
          </w:p>
        </w:tc>
        <w:tc>
          <w:tcPr>
            <w:tcW w:w="2325"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1672.04</w:t>
            </w:r>
          </w:p>
        </w:tc>
        <w:tc>
          <w:tcPr>
            <w:tcW w:w="2175"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1741.14</w:t>
            </w:r>
          </w:p>
        </w:tc>
        <w:tc>
          <w:tcPr>
            <w:tcW w:w="1150" w:type="dxa"/>
            <w:vAlign w:val="center"/>
          </w:tcPr>
          <w:p>
            <w:pPr>
              <w:jc w:val="center"/>
              <w:rPr>
                <w:rFonts w:ascii="宋体" w:hAnsi="宋体" w:eastAsia="宋体" w:cs="宋体"/>
                <w:sz w:val="18"/>
                <w:szCs w:val="18"/>
              </w:rPr>
            </w:pPr>
            <w:r>
              <w:rPr>
                <w:rFonts w:hint="eastAsia" w:ascii="宋体" w:hAnsi="宋体" w:eastAsia="宋体" w:cs="宋体"/>
                <w:sz w:val="18"/>
                <w:szCs w:val="18"/>
              </w:rPr>
              <w:t>1741.14</w:t>
            </w:r>
          </w:p>
        </w:tc>
        <w:tc>
          <w:tcPr>
            <w:tcW w:w="3016"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615" w:type="dxa"/>
            <w:vMerge w:val="continue"/>
          </w:tcPr>
          <w:p>
            <w:pPr>
              <w:rPr>
                <w:rFonts w:ascii="宋体" w:hAnsi="宋体" w:eastAsia="宋体" w:cs="宋体"/>
                <w:sz w:val="18"/>
                <w:szCs w:val="18"/>
              </w:rPr>
            </w:pPr>
          </w:p>
        </w:tc>
        <w:tc>
          <w:tcPr>
            <w:tcW w:w="3270" w:type="dxa"/>
            <w:gridSpan w:val="2"/>
            <w:vAlign w:val="center"/>
          </w:tcPr>
          <w:p>
            <w:pPr>
              <w:spacing w:line="225" w:lineRule="exact"/>
              <w:ind w:left="100"/>
              <w:jc w:val="left"/>
              <w:rPr>
                <w:rFonts w:ascii="宋体" w:hAnsi="宋体" w:eastAsia="宋体" w:cs="宋体"/>
                <w:sz w:val="18"/>
                <w:szCs w:val="18"/>
              </w:rPr>
            </w:pPr>
            <w:r>
              <w:rPr>
                <w:rFonts w:hint="eastAsia" w:ascii="宋体" w:hAnsi="宋体" w:eastAsia="宋体" w:cs="宋体"/>
                <w:sz w:val="18"/>
                <w:szCs w:val="18"/>
              </w:rPr>
              <w:t>（一）财政拨款小计</w:t>
            </w:r>
          </w:p>
        </w:tc>
        <w:tc>
          <w:tcPr>
            <w:tcW w:w="2325"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1672.04</w:t>
            </w:r>
          </w:p>
        </w:tc>
        <w:tc>
          <w:tcPr>
            <w:tcW w:w="2175"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1741.14</w:t>
            </w:r>
          </w:p>
        </w:tc>
        <w:tc>
          <w:tcPr>
            <w:tcW w:w="1150" w:type="dxa"/>
            <w:vAlign w:val="center"/>
          </w:tcPr>
          <w:p>
            <w:pPr>
              <w:jc w:val="center"/>
              <w:rPr>
                <w:rFonts w:ascii="宋体" w:hAnsi="宋体" w:eastAsia="宋体" w:cs="宋体"/>
                <w:sz w:val="18"/>
                <w:szCs w:val="18"/>
              </w:rPr>
            </w:pPr>
            <w:r>
              <w:rPr>
                <w:rFonts w:hint="eastAsia" w:ascii="宋体" w:hAnsi="宋体" w:eastAsia="宋体" w:cs="宋体"/>
                <w:sz w:val="18"/>
                <w:szCs w:val="18"/>
              </w:rPr>
              <w:t>1741.14</w:t>
            </w:r>
          </w:p>
        </w:tc>
        <w:tc>
          <w:tcPr>
            <w:tcW w:w="3016"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615" w:type="dxa"/>
            <w:vMerge w:val="continue"/>
          </w:tcPr>
          <w:p>
            <w:pPr>
              <w:rPr>
                <w:rFonts w:ascii="宋体" w:hAnsi="宋体" w:eastAsia="宋体" w:cs="宋体"/>
                <w:sz w:val="18"/>
                <w:szCs w:val="18"/>
              </w:rPr>
            </w:pPr>
          </w:p>
        </w:tc>
        <w:tc>
          <w:tcPr>
            <w:tcW w:w="3270" w:type="dxa"/>
            <w:gridSpan w:val="2"/>
            <w:vAlign w:val="center"/>
          </w:tcPr>
          <w:p>
            <w:pPr>
              <w:spacing w:line="195" w:lineRule="exact"/>
              <w:ind w:firstLine="180" w:firstLineChars="100"/>
              <w:rPr>
                <w:rFonts w:ascii="宋体" w:hAnsi="宋体" w:eastAsia="宋体" w:cs="宋体"/>
                <w:sz w:val="18"/>
                <w:szCs w:val="18"/>
              </w:rPr>
            </w:pPr>
            <w:r>
              <w:rPr>
                <w:rFonts w:hint="eastAsia" w:ascii="宋体" w:hAnsi="宋体" w:eastAsia="宋体" w:cs="宋体"/>
                <w:sz w:val="18"/>
                <w:szCs w:val="18"/>
              </w:rPr>
              <w:t>1．一般公共预算</w:t>
            </w:r>
          </w:p>
        </w:tc>
        <w:tc>
          <w:tcPr>
            <w:tcW w:w="2325"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1672.04</w:t>
            </w:r>
          </w:p>
        </w:tc>
        <w:tc>
          <w:tcPr>
            <w:tcW w:w="2175"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1725.64</w:t>
            </w:r>
          </w:p>
        </w:tc>
        <w:tc>
          <w:tcPr>
            <w:tcW w:w="1150" w:type="dxa"/>
            <w:vAlign w:val="center"/>
          </w:tcPr>
          <w:p>
            <w:pPr>
              <w:jc w:val="center"/>
              <w:rPr>
                <w:rFonts w:ascii="宋体" w:hAnsi="宋体" w:eastAsia="宋体" w:cs="宋体"/>
                <w:sz w:val="18"/>
                <w:szCs w:val="18"/>
              </w:rPr>
            </w:pPr>
            <w:r>
              <w:rPr>
                <w:rFonts w:hint="eastAsia" w:ascii="宋体" w:hAnsi="宋体" w:eastAsia="宋体" w:cs="宋体"/>
                <w:sz w:val="18"/>
                <w:szCs w:val="18"/>
              </w:rPr>
              <w:t>1725.64</w:t>
            </w:r>
          </w:p>
        </w:tc>
        <w:tc>
          <w:tcPr>
            <w:tcW w:w="3016"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615" w:type="dxa"/>
            <w:vMerge w:val="continue"/>
          </w:tcPr>
          <w:p>
            <w:pPr>
              <w:rPr>
                <w:rFonts w:ascii="宋体" w:hAnsi="宋体" w:eastAsia="宋体" w:cs="宋体"/>
                <w:sz w:val="18"/>
                <w:szCs w:val="18"/>
              </w:rPr>
            </w:pPr>
          </w:p>
        </w:tc>
        <w:tc>
          <w:tcPr>
            <w:tcW w:w="3270" w:type="dxa"/>
            <w:gridSpan w:val="2"/>
            <w:vAlign w:val="center"/>
          </w:tcPr>
          <w:p>
            <w:pPr>
              <w:spacing w:line="225" w:lineRule="exact"/>
              <w:ind w:firstLine="180" w:firstLineChars="100"/>
              <w:rPr>
                <w:rFonts w:ascii="宋体" w:hAnsi="宋体" w:eastAsia="宋体" w:cs="宋体"/>
                <w:sz w:val="18"/>
                <w:szCs w:val="18"/>
              </w:rPr>
            </w:pPr>
            <w:r>
              <w:rPr>
                <w:rFonts w:hint="eastAsia" w:ascii="宋体" w:hAnsi="宋体" w:eastAsia="宋体" w:cs="宋体"/>
                <w:sz w:val="18"/>
                <w:szCs w:val="18"/>
              </w:rPr>
              <w:t>2．政府性基金</w:t>
            </w:r>
          </w:p>
        </w:tc>
        <w:tc>
          <w:tcPr>
            <w:tcW w:w="2325" w:type="dxa"/>
            <w:gridSpan w:val="2"/>
            <w:vAlign w:val="center"/>
          </w:tcPr>
          <w:p>
            <w:pPr>
              <w:jc w:val="center"/>
              <w:rPr>
                <w:rFonts w:ascii="宋体" w:hAnsi="宋体" w:eastAsia="宋体" w:cs="宋体"/>
                <w:sz w:val="18"/>
                <w:szCs w:val="18"/>
              </w:rPr>
            </w:pPr>
          </w:p>
        </w:tc>
        <w:tc>
          <w:tcPr>
            <w:tcW w:w="2175"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15.5</w:t>
            </w:r>
          </w:p>
        </w:tc>
        <w:tc>
          <w:tcPr>
            <w:tcW w:w="1150" w:type="dxa"/>
            <w:vAlign w:val="center"/>
          </w:tcPr>
          <w:p>
            <w:pPr>
              <w:jc w:val="center"/>
              <w:rPr>
                <w:rFonts w:ascii="宋体" w:hAnsi="宋体" w:eastAsia="宋体" w:cs="宋体"/>
                <w:sz w:val="18"/>
                <w:szCs w:val="18"/>
              </w:rPr>
            </w:pPr>
            <w:r>
              <w:rPr>
                <w:rFonts w:hint="eastAsia" w:ascii="宋体" w:hAnsi="宋体" w:eastAsia="宋体" w:cs="宋体"/>
                <w:sz w:val="18"/>
                <w:szCs w:val="18"/>
              </w:rPr>
              <w:t>15.5</w:t>
            </w:r>
          </w:p>
        </w:tc>
        <w:tc>
          <w:tcPr>
            <w:tcW w:w="3016"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0" w:hRule="atLeast"/>
          <w:jc w:val="center"/>
        </w:trPr>
        <w:tc>
          <w:tcPr>
            <w:tcW w:w="1615" w:type="dxa"/>
            <w:vMerge w:val="continue"/>
          </w:tcPr>
          <w:p>
            <w:pPr>
              <w:rPr>
                <w:rFonts w:ascii="宋体" w:hAnsi="宋体" w:eastAsia="宋体" w:cs="宋体"/>
                <w:sz w:val="18"/>
                <w:szCs w:val="18"/>
              </w:rPr>
            </w:pPr>
          </w:p>
        </w:tc>
        <w:tc>
          <w:tcPr>
            <w:tcW w:w="3270" w:type="dxa"/>
            <w:gridSpan w:val="2"/>
            <w:vAlign w:val="center"/>
          </w:tcPr>
          <w:p>
            <w:pPr>
              <w:spacing w:line="195" w:lineRule="exact"/>
              <w:ind w:firstLine="180" w:firstLineChars="100"/>
              <w:rPr>
                <w:rFonts w:ascii="宋体" w:hAnsi="宋体" w:eastAsia="宋体" w:cs="宋体"/>
                <w:sz w:val="18"/>
                <w:szCs w:val="18"/>
              </w:rPr>
            </w:pPr>
            <w:r>
              <w:rPr>
                <w:rFonts w:hint="eastAsia" w:ascii="宋体" w:hAnsi="宋体" w:eastAsia="宋体" w:cs="宋体"/>
                <w:sz w:val="18"/>
                <w:szCs w:val="18"/>
              </w:rPr>
              <w:t>3．国有资本经营预算</w:t>
            </w:r>
          </w:p>
        </w:tc>
        <w:tc>
          <w:tcPr>
            <w:tcW w:w="2325" w:type="dxa"/>
            <w:gridSpan w:val="2"/>
            <w:vAlign w:val="center"/>
          </w:tcPr>
          <w:p>
            <w:pPr>
              <w:jc w:val="center"/>
              <w:rPr>
                <w:rFonts w:ascii="宋体" w:hAnsi="宋体" w:eastAsia="宋体" w:cs="宋体"/>
                <w:sz w:val="18"/>
                <w:szCs w:val="18"/>
              </w:rPr>
            </w:pPr>
          </w:p>
        </w:tc>
        <w:tc>
          <w:tcPr>
            <w:tcW w:w="2175" w:type="dxa"/>
            <w:gridSpan w:val="2"/>
            <w:vAlign w:val="center"/>
          </w:tcPr>
          <w:p>
            <w:pPr>
              <w:jc w:val="center"/>
              <w:rPr>
                <w:rFonts w:ascii="宋体" w:hAnsi="宋体" w:eastAsia="宋体" w:cs="宋体"/>
                <w:sz w:val="18"/>
                <w:szCs w:val="18"/>
              </w:rPr>
            </w:pPr>
          </w:p>
        </w:tc>
        <w:tc>
          <w:tcPr>
            <w:tcW w:w="1150" w:type="dxa"/>
            <w:vAlign w:val="center"/>
          </w:tcPr>
          <w:p>
            <w:pPr>
              <w:jc w:val="center"/>
              <w:rPr>
                <w:rFonts w:ascii="宋体" w:hAnsi="宋体" w:eastAsia="宋体" w:cs="宋体"/>
                <w:sz w:val="18"/>
                <w:szCs w:val="18"/>
              </w:rPr>
            </w:pPr>
          </w:p>
        </w:tc>
        <w:tc>
          <w:tcPr>
            <w:tcW w:w="3016" w:type="dxa"/>
            <w:gridSpan w:val="2"/>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1615" w:type="dxa"/>
            <w:vMerge w:val="continue"/>
          </w:tcPr>
          <w:p>
            <w:pPr>
              <w:rPr>
                <w:rFonts w:ascii="宋体" w:hAnsi="宋体" w:eastAsia="宋体" w:cs="宋体"/>
                <w:sz w:val="18"/>
                <w:szCs w:val="18"/>
              </w:rPr>
            </w:pPr>
          </w:p>
        </w:tc>
        <w:tc>
          <w:tcPr>
            <w:tcW w:w="3270" w:type="dxa"/>
            <w:gridSpan w:val="2"/>
            <w:vAlign w:val="center"/>
          </w:tcPr>
          <w:p>
            <w:pPr>
              <w:spacing w:line="225" w:lineRule="exact"/>
              <w:ind w:firstLine="180" w:firstLineChars="100"/>
              <w:rPr>
                <w:rFonts w:ascii="宋体" w:hAnsi="宋体" w:eastAsia="宋体" w:cs="宋体"/>
                <w:sz w:val="18"/>
                <w:szCs w:val="18"/>
              </w:rPr>
            </w:pPr>
            <w:r>
              <w:rPr>
                <w:rFonts w:hint="eastAsia" w:ascii="宋体" w:hAnsi="宋体" w:eastAsia="宋体" w:cs="宋体"/>
                <w:sz w:val="18"/>
                <w:szCs w:val="18"/>
              </w:rPr>
              <w:t>4．社保基金</w:t>
            </w:r>
          </w:p>
        </w:tc>
        <w:tc>
          <w:tcPr>
            <w:tcW w:w="2325" w:type="dxa"/>
            <w:gridSpan w:val="2"/>
            <w:vAlign w:val="center"/>
          </w:tcPr>
          <w:p>
            <w:pPr>
              <w:jc w:val="center"/>
              <w:rPr>
                <w:rFonts w:ascii="宋体" w:hAnsi="宋体" w:eastAsia="宋体" w:cs="宋体"/>
                <w:sz w:val="18"/>
                <w:szCs w:val="18"/>
              </w:rPr>
            </w:pPr>
          </w:p>
        </w:tc>
        <w:tc>
          <w:tcPr>
            <w:tcW w:w="2175" w:type="dxa"/>
            <w:gridSpan w:val="2"/>
            <w:vAlign w:val="center"/>
          </w:tcPr>
          <w:p>
            <w:pPr>
              <w:jc w:val="center"/>
              <w:rPr>
                <w:rFonts w:ascii="宋体" w:hAnsi="宋体" w:eastAsia="宋体" w:cs="宋体"/>
                <w:sz w:val="18"/>
                <w:szCs w:val="18"/>
              </w:rPr>
            </w:pPr>
          </w:p>
        </w:tc>
        <w:tc>
          <w:tcPr>
            <w:tcW w:w="1150" w:type="dxa"/>
            <w:vAlign w:val="center"/>
          </w:tcPr>
          <w:p>
            <w:pPr>
              <w:jc w:val="center"/>
              <w:rPr>
                <w:rFonts w:ascii="宋体" w:hAnsi="宋体" w:eastAsia="宋体" w:cs="宋体"/>
                <w:sz w:val="18"/>
                <w:szCs w:val="18"/>
              </w:rPr>
            </w:pPr>
          </w:p>
        </w:tc>
        <w:tc>
          <w:tcPr>
            <w:tcW w:w="3016" w:type="dxa"/>
            <w:gridSpan w:val="2"/>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 w:hRule="atLeast"/>
          <w:jc w:val="center"/>
        </w:trPr>
        <w:tc>
          <w:tcPr>
            <w:tcW w:w="1615" w:type="dxa"/>
            <w:vMerge w:val="continue"/>
          </w:tcPr>
          <w:p>
            <w:pPr>
              <w:rPr>
                <w:rFonts w:ascii="宋体" w:hAnsi="宋体" w:eastAsia="宋体" w:cs="宋体"/>
                <w:sz w:val="18"/>
                <w:szCs w:val="18"/>
              </w:rPr>
            </w:pPr>
          </w:p>
        </w:tc>
        <w:tc>
          <w:tcPr>
            <w:tcW w:w="3270" w:type="dxa"/>
            <w:gridSpan w:val="2"/>
            <w:vAlign w:val="center"/>
          </w:tcPr>
          <w:p>
            <w:pPr>
              <w:spacing w:line="255" w:lineRule="exact"/>
              <w:ind w:left="80"/>
              <w:jc w:val="left"/>
              <w:rPr>
                <w:rFonts w:ascii="宋体" w:hAnsi="宋体" w:eastAsia="宋体" w:cs="宋体"/>
                <w:sz w:val="18"/>
                <w:szCs w:val="18"/>
              </w:rPr>
            </w:pPr>
            <w:r>
              <w:rPr>
                <w:rFonts w:hint="eastAsia" w:ascii="宋体" w:hAnsi="宋体" w:eastAsia="宋体" w:cs="宋体"/>
                <w:sz w:val="18"/>
                <w:szCs w:val="18"/>
              </w:rPr>
              <w:t>（二）其他资金</w:t>
            </w:r>
          </w:p>
        </w:tc>
        <w:tc>
          <w:tcPr>
            <w:tcW w:w="2325" w:type="dxa"/>
            <w:gridSpan w:val="2"/>
            <w:vAlign w:val="center"/>
          </w:tcPr>
          <w:p>
            <w:pPr>
              <w:jc w:val="center"/>
              <w:rPr>
                <w:rFonts w:ascii="宋体" w:hAnsi="宋体" w:eastAsia="宋体" w:cs="宋体"/>
                <w:sz w:val="18"/>
                <w:szCs w:val="18"/>
              </w:rPr>
            </w:pPr>
          </w:p>
        </w:tc>
        <w:tc>
          <w:tcPr>
            <w:tcW w:w="2175" w:type="dxa"/>
            <w:gridSpan w:val="2"/>
            <w:vAlign w:val="center"/>
          </w:tcPr>
          <w:p>
            <w:pPr>
              <w:jc w:val="center"/>
              <w:rPr>
                <w:rFonts w:ascii="宋体" w:hAnsi="宋体" w:eastAsia="宋体" w:cs="宋体"/>
                <w:sz w:val="18"/>
                <w:szCs w:val="18"/>
              </w:rPr>
            </w:pPr>
          </w:p>
        </w:tc>
        <w:tc>
          <w:tcPr>
            <w:tcW w:w="1150" w:type="dxa"/>
            <w:vAlign w:val="center"/>
          </w:tcPr>
          <w:p>
            <w:pPr>
              <w:jc w:val="center"/>
              <w:rPr>
                <w:rFonts w:ascii="宋体" w:hAnsi="宋体" w:eastAsia="宋体" w:cs="宋体"/>
                <w:sz w:val="18"/>
                <w:szCs w:val="18"/>
              </w:rPr>
            </w:pPr>
          </w:p>
        </w:tc>
        <w:tc>
          <w:tcPr>
            <w:tcW w:w="3016" w:type="dxa"/>
            <w:gridSpan w:val="2"/>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0" w:hRule="atLeast"/>
          <w:jc w:val="center"/>
        </w:trPr>
        <w:tc>
          <w:tcPr>
            <w:tcW w:w="1615" w:type="dxa"/>
            <w:vMerge w:val="restart"/>
          </w:tcPr>
          <w:p>
            <w:pPr>
              <w:spacing w:before="450" w:line="220" w:lineRule="exact"/>
              <w:jc w:val="center"/>
              <w:rPr>
                <w:rFonts w:ascii="宋体" w:hAnsi="宋体" w:eastAsia="宋体" w:cs="宋体"/>
                <w:sz w:val="18"/>
                <w:szCs w:val="18"/>
              </w:rPr>
            </w:pPr>
            <w:r>
              <w:rPr>
                <w:rFonts w:hint="eastAsia" w:ascii="宋体" w:hAnsi="宋体" w:eastAsia="宋体" w:cs="宋体"/>
                <w:sz w:val="18"/>
                <w:szCs w:val="18"/>
              </w:rPr>
              <w:t>整体目标</w:t>
            </w:r>
          </w:p>
        </w:tc>
        <w:tc>
          <w:tcPr>
            <w:tcW w:w="7770" w:type="dxa"/>
            <w:gridSpan w:val="6"/>
            <w:vAlign w:val="center"/>
          </w:tcPr>
          <w:p>
            <w:pPr>
              <w:spacing w:line="255" w:lineRule="exact"/>
              <w:jc w:val="center"/>
              <w:rPr>
                <w:rFonts w:ascii="宋体" w:hAnsi="宋体" w:eastAsia="宋体" w:cs="宋体"/>
                <w:sz w:val="18"/>
                <w:szCs w:val="18"/>
              </w:rPr>
            </w:pPr>
            <w:r>
              <w:rPr>
                <w:rFonts w:hint="eastAsia" w:ascii="宋体" w:hAnsi="宋体" w:eastAsia="宋体" w:cs="宋体"/>
                <w:sz w:val="18"/>
                <w:szCs w:val="18"/>
              </w:rPr>
              <w:t>年度目标</w:t>
            </w:r>
          </w:p>
        </w:tc>
        <w:tc>
          <w:tcPr>
            <w:tcW w:w="4166" w:type="dxa"/>
            <w:gridSpan w:val="3"/>
            <w:vAlign w:val="center"/>
          </w:tcPr>
          <w:p>
            <w:pPr>
              <w:spacing w:line="255" w:lineRule="exact"/>
              <w:jc w:val="center"/>
              <w:rPr>
                <w:rFonts w:ascii="宋体" w:hAnsi="宋体" w:eastAsia="宋体" w:cs="宋体"/>
                <w:sz w:val="18"/>
                <w:szCs w:val="18"/>
              </w:rPr>
            </w:pPr>
            <w:r>
              <w:rPr>
                <w:rFonts w:hint="eastAsia" w:ascii="宋体" w:hAnsi="宋体" w:eastAsia="宋体" w:cs="宋体"/>
                <w:sz w:val="18"/>
                <w:szCs w:val="1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25" w:hRule="atLeast"/>
          <w:jc w:val="center"/>
        </w:trPr>
        <w:tc>
          <w:tcPr>
            <w:tcW w:w="1615" w:type="dxa"/>
            <w:vMerge w:val="continue"/>
          </w:tcPr>
          <w:p>
            <w:pPr>
              <w:rPr>
                <w:rFonts w:ascii="宋体" w:hAnsi="宋体" w:eastAsia="宋体" w:cs="宋体"/>
                <w:sz w:val="18"/>
                <w:szCs w:val="18"/>
              </w:rPr>
            </w:pPr>
          </w:p>
        </w:tc>
        <w:tc>
          <w:tcPr>
            <w:tcW w:w="7770" w:type="dxa"/>
            <w:gridSpan w:val="6"/>
            <w:vAlign w:val="center"/>
          </w:tcPr>
          <w:p>
            <w:pPr>
              <w:rPr>
                <w:rFonts w:ascii="宋体" w:hAnsi="宋体" w:eastAsia="宋体" w:cs="宋体"/>
                <w:sz w:val="18"/>
                <w:szCs w:val="18"/>
              </w:rPr>
            </w:pPr>
            <w:r>
              <w:rPr>
                <w:rFonts w:hint="eastAsia" w:ascii="宋体" w:hAnsi="宋体" w:eastAsia="宋体" w:cs="宋体"/>
                <w:sz w:val="18"/>
                <w:szCs w:val="18"/>
                <w:shd w:val="clear" w:color="auto" w:fill="FFFFFF"/>
              </w:rPr>
              <w:t>深入学习贯彻市区第八次党代会精神，坚决落实中央、省委、市委及区委的各项部署安排，紧紧围绕区委“四城新区”建设，聚焦产业发展、两项改革“后半篇”文章、招商引资、基层治理、民生改善、从严治党等重点工作，推动“宜居宜业宜游美丽虎跳  绿色产业重镇”再上新台阶。一是完成区级各项目标任务，对本镇的重大问题进行决策，研究制定全镇经济、社会和文化发展规划；二是保障在职干部、临聘人员、退休干部、村（社区）干部的工资、保险、目标奖、生活补助和日常正常运转；三是做好基层组织活动和公共运行维护工作，促进科技、文化、教育、环保等各项社会事业的协调发展；四是做好烤烟生产发展工作，按时按质按量完成烤烟产业发展目标任务，确保完成并力争超额完成上级下达的地方一般税收收入；五是人大工作，重视社情民意，不断改善社会发展环境，为经济建设和人民生活创造良好的条件；六是做好武装工作，完成征兵计划，做好民兵队伍建设培训等工作；七是做好农村税费改革农村税收工作；八是做好场镇环境卫生、路灯管理、人大等相关工作。服务对象覆盖镇域内所有村社区，群众满意度达到95%。</w:t>
            </w:r>
          </w:p>
        </w:tc>
        <w:tc>
          <w:tcPr>
            <w:tcW w:w="4166" w:type="dxa"/>
            <w:gridSpan w:val="3"/>
            <w:vAlign w:val="center"/>
          </w:tcPr>
          <w:p>
            <w:pPr>
              <w:rPr>
                <w:rFonts w:ascii="宋体" w:hAnsi="宋体" w:eastAsia="宋体" w:cs="宋体"/>
                <w:sz w:val="18"/>
                <w:szCs w:val="18"/>
              </w:rPr>
            </w:pPr>
            <w:r>
              <w:rPr>
                <w:rFonts w:hint="eastAsia" w:ascii="宋体" w:hAnsi="宋体" w:eastAsia="宋体" w:cs="宋体"/>
                <w:sz w:val="18"/>
                <w:szCs w:val="18"/>
              </w:rPr>
              <w:t>完成区级各项目标任务；保障在职干部、临聘人员、退休干部、村（社区）干部的工资、保险、目标奖、生活补助和日常正常运转；做好了基层组织活动和公共运行维护工作、烤烟生产发展工作、武装工作、农村税费改革农村税收工作、场镇环境卫生、路灯管理、人大等相关工作，</w:t>
            </w:r>
            <w:r>
              <w:rPr>
                <w:rFonts w:hint="eastAsia" w:ascii="宋体" w:hAnsi="宋体" w:eastAsia="宋体" w:cs="宋体"/>
                <w:sz w:val="18"/>
                <w:szCs w:val="18"/>
                <w:shd w:val="clear" w:color="auto" w:fill="FFFFFF"/>
              </w:rPr>
              <w:t>服务对象覆盖镇域内所有村社区，群众满意度达到95%</w:t>
            </w: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7" w:hRule="atLeast"/>
          <w:jc w:val="center"/>
        </w:trPr>
        <w:tc>
          <w:tcPr>
            <w:tcW w:w="1615" w:type="dxa"/>
            <w:vMerge w:val="restart"/>
            <w:vAlign w:val="center"/>
          </w:tcPr>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r>
              <w:rPr>
                <w:rFonts w:hint="eastAsia" w:ascii="宋体" w:hAnsi="宋体" w:eastAsia="宋体" w:cs="宋体"/>
                <w:sz w:val="18"/>
                <w:szCs w:val="18"/>
              </w:rPr>
              <w:t>部门整体绩效指标</w:t>
            </w: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jc w:val="center"/>
              <w:rPr>
                <w:rFonts w:ascii="宋体" w:hAnsi="宋体" w:eastAsia="宋体" w:cs="宋体"/>
                <w:sz w:val="18"/>
                <w:szCs w:val="18"/>
              </w:rPr>
            </w:pPr>
          </w:p>
          <w:p>
            <w:pPr>
              <w:spacing w:line="220" w:lineRule="exact"/>
              <w:jc w:val="center"/>
              <w:rPr>
                <w:rFonts w:ascii="宋体" w:hAnsi="宋体" w:eastAsia="宋体" w:cs="宋体"/>
                <w:sz w:val="18"/>
                <w:szCs w:val="18"/>
              </w:rPr>
            </w:pPr>
          </w:p>
          <w:p>
            <w:pPr>
              <w:spacing w:line="220" w:lineRule="exact"/>
              <w:jc w:val="center"/>
              <w:rPr>
                <w:rFonts w:ascii="宋体" w:hAnsi="宋体" w:eastAsia="宋体" w:cs="宋体"/>
                <w:sz w:val="18"/>
                <w:szCs w:val="18"/>
              </w:rPr>
            </w:pPr>
          </w:p>
          <w:p>
            <w:pPr>
              <w:spacing w:line="220" w:lineRule="exact"/>
              <w:jc w:val="center"/>
              <w:rPr>
                <w:rFonts w:ascii="宋体" w:hAnsi="宋体" w:eastAsia="宋体" w:cs="宋体"/>
                <w:sz w:val="18"/>
                <w:szCs w:val="18"/>
              </w:rPr>
            </w:pPr>
          </w:p>
          <w:p>
            <w:pPr>
              <w:spacing w:line="220" w:lineRule="exact"/>
              <w:jc w:val="center"/>
              <w:rPr>
                <w:rFonts w:ascii="宋体" w:hAnsi="宋体" w:eastAsia="宋体" w:cs="宋体"/>
                <w:sz w:val="18"/>
                <w:szCs w:val="18"/>
              </w:rPr>
            </w:pPr>
          </w:p>
          <w:p>
            <w:pPr>
              <w:spacing w:line="220" w:lineRule="exact"/>
              <w:jc w:val="center"/>
              <w:rPr>
                <w:rFonts w:ascii="宋体" w:hAnsi="宋体" w:eastAsia="宋体" w:cs="宋体"/>
                <w:sz w:val="18"/>
                <w:szCs w:val="18"/>
              </w:rPr>
            </w:pPr>
          </w:p>
          <w:p>
            <w:pPr>
              <w:spacing w:line="220" w:lineRule="exact"/>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p>
          <w:p>
            <w:pPr>
              <w:spacing w:line="220" w:lineRule="exact"/>
              <w:ind w:left="20"/>
              <w:jc w:val="center"/>
              <w:rPr>
                <w:rFonts w:ascii="宋体" w:hAnsi="宋体" w:eastAsia="宋体" w:cs="宋体"/>
                <w:sz w:val="18"/>
                <w:szCs w:val="18"/>
              </w:rPr>
            </w:pPr>
            <w:r>
              <w:rPr>
                <w:rFonts w:hint="eastAsia" w:ascii="宋体" w:hAnsi="宋体" w:eastAsia="宋体" w:cs="宋体"/>
                <w:sz w:val="18"/>
                <w:szCs w:val="18"/>
              </w:rPr>
              <w:t>部门整体绩效指标</w:t>
            </w:r>
          </w:p>
        </w:tc>
        <w:tc>
          <w:tcPr>
            <w:tcW w:w="1255" w:type="dxa"/>
            <w:vAlign w:val="center"/>
          </w:tcPr>
          <w:p>
            <w:pPr>
              <w:spacing w:line="255" w:lineRule="exact"/>
              <w:jc w:val="center"/>
              <w:rPr>
                <w:rFonts w:ascii="宋体" w:hAnsi="宋体" w:eastAsia="宋体" w:cs="宋体"/>
                <w:sz w:val="18"/>
                <w:szCs w:val="18"/>
              </w:rPr>
            </w:pPr>
            <w:r>
              <w:rPr>
                <w:rFonts w:hint="eastAsia" w:ascii="宋体" w:hAnsi="宋体" w:eastAsia="宋体" w:cs="宋体"/>
                <w:sz w:val="18"/>
                <w:szCs w:val="18"/>
              </w:rPr>
              <w:t>一级指标</w:t>
            </w:r>
          </w:p>
        </w:tc>
        <w:tc>
          <w:tcPr>
            <w:tcW w:w="2535" w:type="dxa"/>
            <w:gridSpan w:val="2"/>
            <w:vAlign w:val="center"/>
          </w:tcPr>
          <w:p>
            <w:pPr>
              <w:spacing w:line="255" w:lineRule="exact"/>
              <w:jc w:val="center"/>
              <w:rPr>
                <w:rFonts w:ascii="宋体" w:hAnsi="宋体" w:eastAsia="宋体" w:cs="宋体"/>
                <w:sz w:val="18"/>
                <w:szCs w:val="18"/>
              </w:rPr>
            </w:pPr>
            <w:r>
              <w:rPr>
                <w:rFonts w:hint="eastAsia" w:ascii="宋体" w:hAnsi="宋体" w:eastAsia="宋体" w:cs="宋体"/>
                <w:sz w:val="18"/>
                <w:szCs w:val="18"/>
              </w:rPr>
              <w:t>二级指标</w:t>
            </w:r>
          </w:p>
        </w:tc>
        <w:tc>
          <w:tcPr>
            <w:tcW w:w="3810" w:type="dxa"/>
            <w:gridSpan w:val="2"/>
            <w:vAlign w:val="center"/>
          </w:tcPr>
          <w:p>
            <w:pPr>
              <w:spacing w:line="255" w:lineRule="exact"/>
              <w:jc w:val="center"/>
              <w:rPr>
                <w:rFonts w:ascii="宋体" w:hAnsi="宋体" w:eastAsia="宋体" w:cs="宋体"/>
                <w:sz w:val="18"/>
                <w:szCs w:val="18"/>
              </w:rPr>
            </w:pPr>
            <w:r>
              <w:rPr>
                <w:rFonts w:hint="eastAsia" w:ascii="宋体" w:hAnsi="宋体" w:eastAsia="宋体" w:cs="宋体"/>
                <w:sz w:val="18"/>
                <w:szCs w:val="18"/>
              </w:rPr>
              <w:t>三级指标</w:t>
            </w:r>
          </w:p>
        </w:tc>
        <w:tc>
          <w:tcPr>
            <w:tcW w:w="1320" w:type="dxa"/>
            <w:gridSpan w:val="2"/>
            <w:vAlign w:val="center"/>
          </w:tcPr>
          <w:p>
            <w:pPr>
              <w:spacing w:line="195" w:lineRule="exact"/>
              <w:jc w:val="center"/>
              <w:rPr>
                <w:rFonts w:ascii="宋体" w:hAnsi="宋体" w:eastAsia="宋体" w:cs="宋体"/>
                <w:sz w:val="18"/>
                <w:szCs w:val="18"/>
              </w:rPr>
            </w:pPr>
            <w:r>
              <w:rPr>
                <w:rFonts w:hint="eastAsia" w:ascii="宋体" w:hAnsi="宋体" w:eastAsia="宋体" w:cs="宋体"/>
                <w:sz w:val="18"/>
                <w:szCs w:val="18"/>
              </w:rPr>
              <w:t>年度指标值</w:t>
            </w:r>
          </w:p>
        </w:tc>
        <w:tc>
          <w:tcPr>
            <w:tcW w:w="1485" w:type="dxa"/>
            <w:vAlign w:val="center"/>
          </w:tcPr>
          <w:p>
            <w:pPr>
              <w:spacing w:line="195" w:lineRule="exact"/>
              <w:jc w:val="center"/>
              <w:rPr>
                <w:rFonts w:ascii="宋体" w:hAnsi="宋体" w:eastAsia="宋体" w:cs="宋体"/>
                <w:sz w:val="18"/>
                <w:szCs w:val="18"/>
              </w:rPr>
            </w:pPr>
            <w:r>
              <w:rPr>
                <w:rFonts w:hint="eastAsia" w:ascii="宋体" w:hAnsi="宋体" w:eastAsia="宋体" w:cs="宋体"/>
                <w:sz w:val="18"/>
                <w:szCs w:val="18"/>
              </w:rPr>
              <w:t>实际完成值</w:t>
            </w:r>
          </w:p>
        </w:tc>
        <w:tc>
          <w:tcPr>
            <w:tcW w:w="1531" w:type="dxa"/>
            <w:vAlign w:val="center"/>
          </w:tcPr>
          <w:p>
            <w:pPr>
              <w:spacing w:line="158" w:lineRule="exact"/>
              <w:jc w:val="center"/>
              <w:rPr>
                <w:rFonts w:ascii="宋体" w:hAnsi="宋体" w:eastAsia="宋体" w:cs="宋体"/>
                <w:sz w:val="18"/>
                <w:szCs w:val="18"/>
              </w:rPr>
            </w:pPr>
            <w:r>
              <w:rPr>
                <w:rFonts w:hint="eastAsia" w:ascii="宋体" w:hAnsi="宋体" w:eastAsia="宋体" w:cs="宋体"/>
                <w:sz w:val="18"/>
                <w:szCs w:val="18"/>
              </w:rPr>
              <w:t>偏差原因分析及</w:t>
            </w:r>
          </w:p>
          <w:p>
            <w:pPr>
              <w:spacing w:line="208" w:lineRule="exact"/>
              <w:jc w:val="center"/>
              <w:rPr>
                <w:rFonts w:ascii="宋体" w:hAnsi="宋体" w:eastAsia="宋体" w:cs="宋体"/>
                <w:sz w:val="18"/>
                <w:szCs w:val="18"/>
              </w:rPr>
            </w:pPr>
            <w:r>
              <w:rPr>
                <w:rFonts w:hint="eastAsia" w:ascii="宋体" w:hAnsi="宋体" w:eastAsia="宋体" w:cs="宋体"/>
                <w:sz w:val="18"/>
                <w:szCs w:val="18"/>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jc w:val="center"/>
        </w:trPr>
        <w:tc>
          <w:tcPr>
            <w:tcW w:w="1615" w:type="dxa"/>
            <w:vMerge w:val="continue"/>
          </w:tcPr>
          <w:p>
            <w:pPr>
              <w:rPr>
                <w:rFonts w:ascii="宋体" w:hAnsi="宋体" w:eastAsia="宋体" w:cs="宋体"/>
                <w:sz w:val="18"/>
                <w:szCs w:val="18"/>
              </w:rPr>
            </w:pPr>
          </w:p>
        </w:tc>
        <w:tc>
          <w:tcPr>
            <w:tcW w:w="1255"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产出指标</w:t>
            </w:r>
          </w:p>
        </w:tc>
        <w:tc>
          <w:tcPr>
            <w:tcW w:w="2535" w:type="dxa"/>
            <w:gridSpan w:val="2"/>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数量指标</w:t>
            </w:r>
          </w:p>
        </w:tc>
        <w:tc>
          <w:tcPr>
            <w:tcW w:w="3810" w:type="dxa"/>
            <w:gridSpan w:val="2"/>
            <w:vAlign w:val="center"/>
          </w:tcPr>
          <w:p>
            <w:pPr>
              <w:spacing w:line="216" w:lineRule="exact"/>
              <w:jc w:val="left"/>
              <w:rPr>
                <w:rFonts w:ascii="宋体" w:hAnsi="宋体" w:eastAsia="宋体" w:cs="宋体"/>
                <w:sz w:val="18"/>
                <w:szCs w:val="18"/>
              </w:rPr>
            </w:pPr>
            <w:r>
              <w:rPr>
                <w:rFonts w:hint="eastAsia" w:ascii="宋体" w:hAnsi="宋体" w:eastAsia="宋体" w:cs="宋体"/>
                <w:sz w:val="18"/>
                <w:szCs w:val="18"/>
              </w:rPr>
              <w:t>维持村社区基本运转及公共运行（个）</w:t>
            </w:r>
          </w:p>
        </w:tc>
        <w:tc>
          <w:tcPr>
            <w:tcW w:w="1320"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15个</w:t>
            </w:r>
          </w:p>
        </w:tc>
        <w:tc>
          <w:tcPr>
            <w:tcW w:w="1485" w:type="dxa"/>
            <w:vAlign w:val="center"/>
          </w:tcPr>
          <w:p>
            <w:pPr>
              <w:jc w:val="center"/>
              <w:rPr>
                <w:rFonts w:ascii="宋体" w:hAnsi="宋体" w:eastAsia="宋体" w:cs="宋体"/>
                <w:sz w:val="18"/>
                <w:szCs w:val="18"/>
              </w:rPr>
            </w:pPr>
            <w:r>
              <w:rPr>
                <w:rFonts w:hint="eastAsia" w:ascii="宋体" w:hAnsi="宋体" w:eastAsia="宋体" w:cs="宋体"/>
                <w:sz w:val="18"/>
                <w:szCs w:val="18"/>
              </w:rPr>
              <w:t>15个</w:t>
            </w:r>
          </w:p>
        </w:tc>
        <w:tc>
          <w:tcPr>
            <w:tcW w:w="1531" w:type="dxa"/>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jc w:val="center"/>
        </w:trPr>
        <w:tc>
          <w:tcPr>
            <w:tcW w:w="1615" w:type="dxa"/>
            <w:vMerge w:val="continue"/>
          </w:tcPr>
          <w:p>
            <w:pPr>
              <w:rPr>
                <w:rFonts w:ascii="宋体" w:hAnsi="宋体" w:eastAsia="宋体" w:cs="宋体"/>
                <w:sz w:val="18"/>
                <w:szCs w:val="18"/>
              </w:rPr>
            </w:pPr>
          </w:p>
        </w:tc>
        <w:tc>
          <w:tcPr>
            <w:tcW w:w="1255" w:type="dxa"/>
            <w:vMerge w:val="continue"/>
          </w:tcPr>
          <w:p>
            <w:pPr>
              <w:rPr>
                <w:rFonts w:ascii="宋体" w:hAnsi="宋体" w:eastAsia="宋体" w:cs="宋体"/>
                <w:sz w:val="18"/>
                <w:szCs w:val="18"/>
              </w:rPr>
            </w:pPr>
          </w:p>
        </w:tc>
        <w:tc>
          <w:tcPr>
            <w:tcW w:w="2535" w:type="dxa"/>
            <w:gridSpan w:val="2"/>
            <w:vMerge w:val="continue"/>
          </w:tcPr>
          <w:p>
            <w:pPr>
              <w:rPr>
                <w:rFonts w:ascii="宋体" w:hAnsi="宋体" w:eastAsia="宋体" w:cs="宋体"/>
                <w:sz w:val="18"/>
                <w:szCs w:val="18"/>
              </w:rPr>
            </w:pPr>
          </w:p>
        </w:tc>
        <w:tc>
          <w:tcPr>
            <w:tcW w:w="3810" w:type="dxa"/>
            <w:gridSpan w:val="2"/>
            <w:vAlign w:val="center"/>
          </w:tcPr>
          <w:p>
            <w:pPr>
              <w:spacing w:line="252" w:lineRule="exact"/>
              <w:jc w:val="left"/>
              <w:rPr>
                <w:rFonts w:ascii="宋体" w:hAnsi="宋体" w:eastAsia="宋体" w:cs="宋体"/>
                <w:sz w:val="18"/>
                <w:szCs w:val="18"/>
              </w:rPr>
            </w:pPr>
            <w:r>
              <w:rPr>
                <w:rFonts w:hint="eastAsia" w:ascii="宋体" w:hAnsi="宋体" w:eastAsia="宋体" w:cs="宋体"/>
                <w:sz w:val="18"/>
                <w:szCs w:val="18"/>
              </w:rPr>
              <w:t>镇村两级人员工资支付、保险经费缴纳（人）</w:t>
            </w:r>
          </w:p>
        </w:tc>
        <w:tc>
          <w:tcPr>
            <w:tcW w:w="1320"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230人</w:t>
            </w:r>
          </w:p>
        </w:tc>
        <w:tc>
          <w:tcPr>
            <w:tcW w:w="1485" w:type="dxa"/>
            <w:vAlign w:val="center"/>
          </w:tcPr>
          <w:p>
            <w:pPr>
              <w:jc w:val="center"/>
              <w:rPr>
                <w:rFonts w:ascii="宋体" w:hAnsi="宋体" w:eastAsia="宋体" w:cs="宋体"/>
                <w:sz w:val="18"/>
                <w:szCs w:val="18"/>
              </w:rPr>
            </w:pPr>
            <w:r>
              <w:rPr>
                <w:rFonts w:hint="eastAsia" w:ascii="宋体" w:hAnsi="宋体" w:eastAsia="宋体" w:cs="宋体"/>
                <w:sz w:val="18"/>
                <w:szCs w:val="18"/>
              </w:rPr>
              <w:t>230人</w:t>
            </w:r>
          </w:p>
        </w:tc>
        <w:tc>
          <w:tcPr>
            <w:tcW w:w="1531" w:type="dxa"/>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jc w:val="center"/>
        </w:trPr>
        <w:tc>
          <w:tcPr>
            <w:tcW w:w="1615" w:type="dxa"/>
            <w:vMerge w:val="continue"/>
          </w:tcPr>
          <w:p>
            <w:pPr>
              <w:rPr>
                <w:rFonts w:ascii="宋体" w:hAnsi="宋体" w:eastAsia="宋体" w:cs="宋体"/>
                <w:sz w:val="18"/>
                <w:szCs w:val="18"/>
              </w:rPr>
            </w:pPr>
          </w:p>
        </w:tc>
        <w:tc>
          <w:tcPr>
            <w:tcW w:w="1255" w:type="dxa"/>
            <w:vMerge w:val="continue"/>
          </w:tcPr>
          <w:p>
            <w:pPr>
              <w:rPr>
                <w:rFonts w:ascii="宋体" w:hAnsi="宋体" w:eastAsia="宋体" w:cs="宋体"/>
                <w:sz w:val="18"/>
                <w:szCs w:val="18"/>
              </w:rPr>
            </w:pPr>
          </w:p>
        </w:tc>
        <w:tc>
          <w:tcPr>
            <w:tcW w:w="2535" w:type="dxa"/>
            <w:gridSpan w:val="2"/>
            <w:vMerge w:val="continue"/>
          </w:tcPr>
          <w:p>
            <w:pPr>
              <w:rPr>
                <w:rFonts w:ascii="宋体" w:hAnsi="宋体" w:eastAsia="宋体" w:cs="宋体"/>
                <w:sz w:val="18"/>
                <w:szCs w:val="18"/>
              </w:rPr>
            </w:pPr>
          </w:p>
        </w:tc>
        <w:tc>
          <w:tcPr>
            <w:tcW w:w="3810" w:type="dxa"/>
            <w:gridSpan w:val="2"/>
            <w:vAlign w:val="center"/>
          </w:tcPr>
          <w:p>
            <w:pPr>
              <w:spacing w:line="252" w:lineRule="exact"/>
              <w:jc w:val="left"/>
              <w:rPr>
                <w:rFonts w:ascii="宋体" w:hAnsi="宋体" w:eastAsia="宋体" w:cs="宋体"/>
                <w:sz w:val="18"/>
                <w:szCs w:val="18"/>
              </w:rPr>
            </w:pPr>
            <w:r>
              <w:rPr>
                <w:rFonts w:hint="eastAsia" w:ascii="宋体" w:hAnsi="宋体" w:eastAsia="宋体" w:cs="宋体"/>
                <w:sz w:val="18"/>
                <w:szCs w:val="18"/>
              </w:rPr>
              <w:t>烤烟生产面积（亩）</w:t>
            </w:r>
          </w:p>
        </w:tc>
        <w:tc>
          <w:tcPr>
            <w:tcW w:w="1320" w:type="dxa"/>
            <w:gridSpan w:val="2"/>
            <w:vAlign w:val="center"/>
          </w:tcPr>
          <w:p>
            <w:pPr>
              <w:jc w:val="center"/>
              <w:rPr>
                <w:rFonts w:ascii="宋体" w:hAnsi="宋体" w:eastAsia="宋体" w:cs="宋体"/>
                <w:sz w:val="18"/>
                <w:szCs w:val="18"/>
              </w:rPr>
            </w:pPr>
            <w:r>
              <w:rPr>
                <w:rFonts w:ascii="Arial" w:hAnsi="Arial" w:eastAsia="宋体" w:cs="Arial"/>
                <w:sz w:val="18"/>
                <w:szCs w:val="18"/>
              </w:rPr>
              <w:t>≥</w:t>
            </w:r>
            <w:r>
              <w:rPr>
                <w:rFonts w:hint="eastAsia" w:ascii="宋体" w:hAnsi="宋体" w:eastAsia="宋体" w:cs="宋体"/>
                <w:sz w:val="18"/>
                <w:szCs w:val="18"/>
              </w:rPr>
              <w:t>500亩</w:t>
            </w:r>
          </w:p>
        </w:tc>
        <w:tc>
          <w:tcPr>
            <w:tcW w:w="1485" w:type="dxa"/>
            <w:vAlign w:val="center"/>
          </w:tcPr>
          <w:p>
            <w:pPr>
              <w:jc w:val="center"/>
              <w:rPr>
                <w:rFonts w:ascii="宋体" w:hAnsi="宋体" w:eastAsia="宋体" w:cs="宋体"/>
                <w:sz w:val="18"/>
                <w:szCs w:val="18"/>
              </w:rPr>
            </w:pPr>
            <w:r>
              <w:rPr>
                <w:rFonts w:hint="eastAsia" w:ascii="宋体" w:hAnsi="宋体" w:eastAsia="宋体" w:cs="宋体"/>
                <w:sz w:val="18"/>
                <w:szCs w:val="18"/>
              </w:rPr>
              <w:t>800亩</w:t>
            </w:r>
          </w:p>
        </w:tc>
        <w:tc>
          <w:tcPr>
            <w:tcW w:w="1531" w:type="dxa"/>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 w:hRule="atLeast"/>
          <w:jc w:val="center"/>
        </w:trPr>
        <w:tc>
          <w:tcPr>
            <w:tcW w:w="1615" w:type="dxa"/>
            <w:vMerge w:val="continue"/>
          </w:tcPr>
          <w:p>
            <w:pPr>
              <w:rPr>
                <w:rFonts w:ascii="宋体" w:hAnsi="宋体" w:eastAsia="宋体" w:cs="宋体"/>
                <w:sz w:val="18"/>
                <w:szCs w:val="18"/>
              </w:rPr>
            </w:pPr>
          </w:p>
        </w:tc>
        <w:tc>
          <w:tcPr>
            <w:tcW w:w="1255" w:type="dxa"/>
            <w:vMerge w:val="continue"/>
          </w:tcPr>
          <w:p>
            <w:pPr>
              <w:rPr>
                <w:rFonts w:ascii="宋体" w:hAnsi="宋体" w:eastAsia="宋体" w:cs="宋体"/>
                <w:sz w:val="18"/>
                <w:szCs w:val="18"/>
              </w:rPr>
            </w:pPr>
          </w:p>
        </w:tc>
        <w:tc>
          <w:tcPr>
            <w:tcW w:w="2535" w:type="dxa"/>
            <w:gridSpan w:val="2"/>
            <w:vMerge w:val="restart"/>
            <w:vAlign w:val="center"/>
          </w:tcPr>
          <w:p>
            <w:pPr>
              <w:spacing w:line="255" w:lineRule="exact"/>
              <w:jc w:val="center"/>
              <w:rPr>
                <w:rFonts w:ascii="宋体" w:hAnsi="宋体" w:eastAsia="宋体" w:cs="宋体"/>
                <w:sz w:val="18"/>
                <w:szCs w:val="18"/>
              </w:rPr>
            </w:pPr>
            <w:r>
              <w:rPr>
                <w:rFonts w:hint="eastAsia" w:ascii="宋体" w:hAnsi="宋体" w:eastAsia="宋体" w:cs="宋体"/>
                <w:sz w:val="18"/>
                <w:szCs w:val="18"/>
              </w:rPr>
              <w:t>质量指标</w:t>
            </w:r>
          </w:p>
        </w:tc>
        <w:tc>
          <w:tcPr>
            <w:tcW w:w="3810" w:type="dxa"/>
            <w:gridSpan w:val="2"/>
            <w:vAlign w:val="center"/>
          </w:tcPr>
          <w:p>
            <w:pPr>
              <w:spacing w:line="266" w:lineRule="exact"/>
              <w:jc w:val="left"/>
              <w:rPr>
                <w:rFonts w:ascii="宋体" w:hAnsi="宋体" w:eastAsia="宋体" w:cs="宋体"/>
                <w:sz w:val="18"/>
                <w:szCs w:val="18"/>
              </w:rPr>
            </w:pPr>
            <w:r>
              <w:rPr>
                <w:rFonts w:hint="eastAsia" w:ascii="宋体" w:hAnsi="宋体" w:eastAsia="宋体" w:cs="宋体"/>
                <w:sz w:val="18"/>
                <w:szCs w:val="18"/>
              </w:rPr>
              <w:t>镇域内项目验收合格率</w:t>
            </w:r>
          </w:p>
        </w:tc>
        <w:tc>
          <w:tcPr>
            <w:tcW w:w="1320"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1485"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1531" w:type="dxa"/>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jc w:val="center"/>
        </w:trPr>
        <w:tc>
          <w:tcPr>
            <w:tcW w:w="1615" w:type="dxa"/>
            <w:vMerge w:val="continue"/>
          </w:tcPr>
          <w:p>
            <w:pPr>
              <w:rPr>
                <w:rFonts w:ascii="宋体" w:hAnsi="宋体" w:eastAsia="宋体" w:cs="宋体"/>
                <w:sz w:val="18"/>
                <w:szCs w:val="18"/>
              </w:rPr>
            </w:pPr>
          </w:p>
        </w:tc>
        <w:tc>
          <w:tcPr>
            <w:tcW w:w="1255" w:type="dxa"/>
            <w:vMerge w:val="continue"/>
          </w:tcPr>
          <w:p>
            <w:pPr>
              <w:rPr>
                <w:rFonts w:ascii="宋体" w:hAnsi="宋体" w:eastAsia="宋体" w:cs="宋体"/>
                <w:sz w:val="18"/>
                <w:szCs w:val="18"/>
              </w:rPr>
            </w:pPr>
          </w:p>
        </w:tc>
        <w:tc>
          <w:tcPr>
            <w:tcW w:w="2535" w:type="dxa"/>
            <w:gridSpan w:val="2"/>
            <w:vMerge w:val="continue"/>
          </w:tcPr>
          <w:p>
            <w:pPr>
              <w:rPr>
                <w:rFonts w:ascii="宋体" w:hAnsi="宋体" w:eastAsia="宋体" w:cs="宋体"/>
                <w:sz w:val="18"/>
                <w:szCs w:val="18"/>
              </w:rPr>
            </w:pPr>
          </w:p>
        </w:tc>
        <w:tc>
          <w:tcPr>
            <w:tcW w:w="3810" w:type="dxa"/>
            <w:gridSpan w:val="2"/>
            <w:vAlign w:val="center"/>
          </w:tcPr>
          <w:p>
            <w:pPr>
              <w:spacing w:line="266" w:lineRule="exact"/>
              <w:jc w:val="left"/>
              <w:rPr>
                <w:rFonts w:ascii="宋体" w:hAnsi="宋体" w:eastAsia="宋体" w:cs="宋体"/>
                <w:sz w:val="18"/>
                <w:szCs w:val="18"/>
              </w:rPr>
            </w:pPr>
            <w:r>
              <w:rPr>
                <w:rFonts w:hint="eastAsia" w:ascii="宋体" w:hAnsi="宋体" w:eastAsia="宋体" w:cs="宋体"/>
                <w:sz w:val="18"/>
                <w:szCs w:val="18"/>
              </w:rPr>
              <w:t>镇、村两级基本工作完成率</w:t>
            </w:r>
          </w:p>
        </w:tc>
        <w:tc>
          <w:tcPr>
            <w:tcW w:w="1320"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1485"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1531" w:type="dxa"/>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jc w:val="center"/>
        </w:trPr>
        <w:tc>
          <w:tcPr>
            <w:tcW w:w="1615" w:type="dxa"/>
            <w:vMerge w:val="continue"/>
          </w:tcPr>
          <w:p>
            <w:pPr>
              <w:rPr>
                <w:rFonts w:ascii="宋体" w:hAnsi="宋体" w:eastAsia="宋体" w:cs="宋体"/>
                <w:sz w:val="18"/>
                <w:szCs w:val="18"/>
              </w:rPr>
            </w:pPr>
          </w:p>
        </w:tc>
        <w:tc>
          <w:tcPr>
            <w:tcW w:w="1255" w:type="dxa"/>
            <w:vMerge w:val="continue"/>
          </w:tcPr>
          <w:p>
            <w:pPr>
              <w:rPr>
                <w:rFonts w:ascii="宋体" w:hAnsi="宋体" w:eastAsia="宋体" w:cs="宋体"/>
                <w:sz w:val="18"/>
                <w:szCs w:val="18"/>
              </w:rPr>
            </w:pPr>
          </w:p>
        </w:tc>
        <w:tc>
          <w:tcPr>
            <w:tcW w:w="2535" w:type="dxa"/>
            <w:gridSpan w:val="2"/>
            <w:vMerge w:val="continue"/>
          </w:tcPr>
          <w:p>
            <w:pPr>
              <w:rPr>
                <w:rFonts w:ascii="宋体" w:hAnsi="宋体" w:eastAsia="宋体" w:cs="宋体"/>
                <w:sz w:val="18"/>
                <w:szCs w:val="18"/>
              </w:rPr>
            </w:pPr>
          </w:p>
        </w:tc>
        <w:tc>
          <w:tcPr>
            <w:tcW w:w="3810" w:type="dxa"/>
            <w:gridSpan w:val="2"/>
            <w:vAlign w:val="center"/>
          </w:tcPr>
          <w:p>
            <w:pPr>
              <w:spacing w:line="266" w:lineRule="exact"/>
              <w:jc w:val="left"/>
              <w:rPr>
                <w:rFonts w:ascii="宋体" w:hAnsi="宋体" w:eastAsia="宋体" w:cs="宋体"/>
                <w:sz w:val="18"/>
                <w:szCs w:val="18"/>
              </w:rPr>
            </w:pPr>
            <w:r>
              <w:rPr>
                <w:rFonts w:hint="eastAsia" w:ascii="宋体" w:hAnsi="宋体" w:eastAsia="宋体" w:cs="宋体"/>
                <w:sz w:val="18"/>
                <w:szCs w:val="18"/>
              </w:rPr>
              <w:t>人员经费、工资发放和社会保障缴费完成率</w:t>
            </w:r>
          </w:p>
        </w:tc>
        <w:tc>
          <w:tcPr>
            <w:tcW w:w="1320"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1485"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1531" w:type="dxa"/>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jc w:val="center"/>
        </w:trPr>
        <w:tc>
          <w:tcPr>
            <w:tcW w:w="1615" w:type="dxa"/>
            <w:vMerge w:val="continue"/>
          </w:tcPr>
          <w:p>
            <w:pPr>
              <w:rPr>
                <w:rFonts w:ascii="宋体" w:hAnsi="宋体" w:eastAsia="宋体" w:cs="宋体"/>
                <w:sz w:val="18"/>
                <w:szCs w:val="18"/>
              </w:rPr>
            </w:pPr>
          </w:p>
        </w:tc>
        <w:tc>
          <w:tcPr>
            <w:tcW w:w="1255" w:type="dxa"/>
            <w:vMerge w:val="continue"/>
          </w:tcPr>
          <w:p>
            <w:pPr>
              <w:rPr>
                <w:rFonts w:ascii="宋体" w:hAnsi="宋体" w:eastAsia="宋体" w:cs="宋体"/>
                <w:sz w:val="18"/>
                <w:szCs w:val="18"/>
              </w:rPr>
            </w:pPr>
          </w:p>
        </w:tc>
        <w:tc>
          <w:tcPr>
            <w:tcW w:w="2535" w:type="dxa"/>
            <w:gridSpan w:val="2"/>
            <w:vMerge w:val="restart"/>
            <w:vAlign w:val="center"/>
          </w:tcPr>
          <w:p>
            <w:pPr>
              <w:spacing w:line="270" w:lineRule="exact"/>
              <w:jc w:val="center"/>
              <w:rPr>
                <w:rFonts w:ascii="宋体" w:hAnsi="宋体" w:eastAsia="宋体" w:cs="宋体"/>
                <w:sz w:val="18"/>
                <w:szCs w:val="18"/>
              </w:rPr>
            </w:pPr>
            <w:r>
              <w:rPr>
                <w:rFonts w:hint="eastAsia" w:ascii="宋体" w:hAnsi="宋体" w:eastAsia="宋体" w:cs="宋体"/>
                <w:sz w:val="18"/>
                <w:szCs w:val="18"/>
              </w:rPr>
              <w:t>时效指标</w:t>
            </w:r>
          </w:p>
        </w:tc>
        <w:tc>
          <w:tcPr>
            <w:tcW w:w="3810" w:type="dxa"/>
            <w:gridSpan w:val="2"/>
            <w:vAlign w:val="center"/>
          </w:tcPr>
          <w:p>
            <w:pPr>
              <w:spacing w:line="252" w:lineRule="exact"/>
              <w:jc w:val="left"/>
              <w:rPr>
                <w:rFonts w:ascii="宋体" w:hAnsi="宋体" w:eastAsia="宋体" w:cs="宋体"/>
                <w:sz w:val="18"/>
                <w:szCs w:val="18"/>
              </w:rPr>
            </w:pPr>
            <w:r>
              <w:rPr>
                <w:rFonts w:hint="eastAsia" w:ascii="宋体" w:hAnsi="宋体" w:eastAsia="宋体" w:cs="宋体"/>
                <w:sz w:val="18"/>
                <w:szCs w:val="18"/>
              </w:rPr>
              <w:t>按工程建设、工作开展进度支付对应进度款及时率</w:t>
            </w:r>
          </w:p>
        </w:tc>
        <w:tc>
          <w:tcPr>
            <w:tcW w:w="1320"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1485"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1531" w:type="dxa"/>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jc w:val="center"/>
        </w:trPr>
        <w:tc>
          <w:tcPr>
            <w:tcW w:w="1615" w:type="dxa"/>
            <w:vMerge w:val="continue"/>
          </w:tcPr>
          <w:p>
            <w:pPr>
              <w:rPr>
                <w:rFonts w:ascii="宋体" w:hAnsi="宋体" w:eastAsia="宋体" w:cs="宋体"/>
                <w:sz w:val="18"/>
                <w:szCs w:val="18"/>
              </w:rPr>
            </w:pPr>
          </w:p>
        </w:tc>
        <w:tc>
          <w:tcPr>
            <w:tcW w:w="1255" w:type="dxa"/>
            <w:vMerge w:val="continue"/>
          </w:tcPr>
          <w:p>
            <w:pPr>
              <w:rPr>
                <w:rFonts w:ascii="宋体" w:hAnsi="宋体" w:eastAsia="宋体" w:cs="宋体"/>
                <w:sz w:val="18"/>
                <w:szCs w:val="18"/>
              </w:rPr>
            </w:pPr>
          </w:p>
        </w:tc>
        <w:tc>
          <w:tcPr>
            <w:tcW w:w="2535" w:type="dxa"/>
            <w:gridSpan w:val="2"/>
            <w:vMerge w:val="continue"/>
          </w:tcPr>
          <w:p>
            <w:pPr>
              <w:rPr>
                <w:rFonts w:ascii="宋体" w:hAnsi="宋体" w:eastAsia="宋体" w:cs="宋体"/>
                <w:sz w:val="18"/>
                <w:szCs w:val="18"/>
              </w:rPr>
            </w:pPr>
          </w:p>
        </w:tc>
        <w:tc>
          <w:tcPr>
            <w:tcW w:w="3810" w:type="dxa"/>
            <w:gridSpan w:val="2"/>
            <w:vAlign w:val="center"/>
          </w:tcPr>
          <w:p>
            <w:pPr>
              <w:spacing w:line="252" w:lineRule="exact"/>
              <w:jc w:val="left"/>
              <w:rPr>
                <w:rFonts w:ascii="宋体" w:hAnsi="宋体" w:eastAsia="宋体" w:cs="宋体"/>
                <w:sz w:val="18"/>
                <w:szCs w:val="18"/>
              </w:rPr>
            </w:pPr>
            <w:r>
              <w:rPr>
                <w:rFonts w:hint="eastAsia" w:ascii="宋体" w:hAnsi="宋体" w:eastAsia="宋体" w:cs="宋体"/>
                <w:sz w:val="18"/>
                <w:szCs w:val="18"/>
              </w:rPr>
              <w:t>人员工资福利支付、返还农户资金及时率</w:t>
            </w:r>
          </w:p>
        </w:tc>
        <w:tc>
          <w:tcPr>
            <w:tcW w:w="1320"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1485"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1531" w:type="dxa"/>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jc w:val="center"/>
        </w:trPr>
        <w:tc>
          <w:tcPr>
            <w:tcW w:w="1615" w:type="dxa"/>
            <w:vMerge w:val="continue"/>
          </w:tcPr>
          <w:p>
            <w:pPr>
              <w:rPr>
                <w:rFonts w:ascii="宋体" w:hAnsi="宋体" w:eastAsia="宋体" w:cs="宋体"/>
                <w:sz w:val="18"/>
                <w:szCs w:val="18"/>
              </w:rPr>
            </w:pPr>
          </w:p>
        </w:tc>
        <w:tc>
          <w:tcPr>
            <w:tcW w:w="1255" w:type="dxa"/>
            <w:vMerge w:val="continue"/>
          </w:tcPr>
          <w:p>
            <w:pPr>
              <w:rPr>
                <w:rFonts w:ascii="宋体" w:hAnsi="宋体" w:eastAsia="宋体" w:cs="宋体"/>
                <w:sz w:val="18"/>
                <w:szCs w:val="18"/>
              </w:rPr>
            </w:pPr>
          </w:p>
        </w:tc>
        <w:tc>
          <w:tcPr>
            <w:tcW w:w="2535" w:type="dxa"/>
            <w:gridSpan w:val="2"/>
            <w:vMerge w:val="restart"/>
            <w:vAlign w:val="center"/>
          </w:tcPr>
          <w:p>
            <w:pPr>
              <w:spacing w:line="255" w:lineRule="exact"/>
              <w:jc w:val="center"/>
              <w:rPr>
                <w:rFonts w:ascii="宋体" w:hAnsi="宋体" w:eastAsia="宋体" w:cs="宋体"/>
                <w:sz w:val="18"/>
                <w:szCs w:val="18"/>
              </w:rPr>
            </w:pPr>
            <w:r>
              <w:rPr>
                <w:rFonts w:hint="eastAsia" w:ascii="宋体" w:hAnsi="宋体" w:eastAsia="宋体" w:cs="宋体"/>
                <w:sz w:val="18"/>
                <w:szCs w:val="18"/>
              </w:rPr>
              <w:t>成本指标</w:t>
            </w:r>
          </w:p>
        </w:tc>
        <w:tc>
          <w:tcPr>
            <w:tcW w:w="3810" w:type="dxa"/>
            <w:gridSpan w:val="2"/>
            <w:vAlign w:val="center"/>
          </w:tcPr>
          <w:p>
            <w:pPr>
              <w:spacing w:line="216" w:lineRule="exact"/>
              <w:jc w:val="left"/>
              <w:rPr>
                <w:rFonts w:ascii="宋体" w:hAnsi="宋体" w:eastAsia="宋体" w:cs="宋体"/>
                <w:sz w:val="18"/>
                <w:szCs w:val="18"/>
              </w:rPr>
            </w:pPr>
            <w:r>
              <w:rPr>
                <w:rFonts w:hint="eastAsia" w:ascii="宋体" w:hAnsi="宋体" w:eastAsia="宋体" w:cs="宋体"/>
                <w:sz w:val="18"/>
                <w:szCs w:val="18"/>
              </w:rPr>
              <w:t>镇村两级人员经费、单位日常运转成本</w:t>
            </w:r>
          </w:p>
        </w:tc>
        <w:tc>
          <w:tcPr>
            <w:tcW w:w="1320" w:type="dxa"/>
            <w:gridSpan w:val="2"/>
            <w:vAlign w:val="center"/>
          </w:tcPr>
          <w:p>
            <w:pPr>
              <w:jc w:val="center"/>
              <w:rPr>
                <w:rFonts w:ascii="宋体" w:hAnsi="宋体" w:eastAsia="宋体" w:cs="宋体"/>
                <w:sz w:val="18"/>
                <w:szCs w:val="18"/>
              </w:rPr>
            </w:pPr>
            <w:r>
              <w:rPr>
                <w:rFonts w:hint="eastAsia" w:ascii="微软雅黑" w:hAnsi="微软雅黑" w:eastAsia="微软雅黑" w:cs="微软雅黑"/>
                <w:sz w:val="18"/>
                <w:szCs w:val="18"/>
              </w:rPr>
              <w:t>≤</w:t>
            </w:r>
            <w:r>
              <w:rPr>
                <w:rFonts w:hint="eastAsia" w:ascii="宋体" w:hAnsi="宋体" w:eastAsia="宋体" w:cs="宋体"/>
                <w:sz w:val="18"/>
                <w:szCs w:val="18"/>
              </w:rPr>
              <w:t>1529.35万元</w:t>
            </w:r>
          </w:p>
        </w:tc>
        <w:tc>
          <w:tcPr>
            <w:tcW w:w="1485" w:type="dxa"/>
            <w:vAlign w:val="center"/>
          </w:tcPr>
          <w:p>
            <w:pPr>
              <w:jc w:val="center"/>
              <w:rPr>
                <w:rFonts w:ascii="宋体" w:hAnsi="宋体" w:eastAsia="宋体" w:cs="宋体"/>
                <w:sz w:val="18"/>
                <w:szCs w:val="18"/>
              </w:rPr>
            </w:pPr>
            <w:r>
              <w:rPr>
                <w:rFonts w:hint="eastAsia" w:ascii="宋体" w:hAnsi="宋体" w:eastAsia="宋体" w:cs="宋体"/>
                <w:sz w:val="18"/>
                <w:szCs w:val="18"/>
              </w:rPr>
              <w:t>1423.87万元</w:t>
            </w:r>
          </w:p>
        </w:tc>
        <w:tc>
          <w:tcPr>
            <w:tcW w:w="1531" w:type="dxa"/>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jc w:val="center"/>
        </w:trPr>
        <w:tc>
          <w:tcPr>
            <w:tcW w:w="1615" w:type="dxa"/>
            <w:vMerge w:val="continue"/>
          </w:tcPr>
          <w:p>
            <w:pPr>
              <w:rPr>
                <w:rFonts w:ascii="宋体" w:hAnsi="宋体" w:eastAsia="宋体" w:cs="宋体"/>
                <w:sz w:val="18"/>
                <w:szCs w:val="18"/>
              </w:rPr>
            </w:pPr>
          </w:p>
        </w:tc>
        <w:tc>
          <w:tcPr>
            <w:tcW w:w="1255" w:type="dxa"/>
            <w:vMerge w:val="continue"/>
          </w:tcPr>
          <w:p>
            <w:pPr>
              <w:rPr>
                <w:rFonts w:ascii="宋体" w:hAnsi="宋体" w:eastAsia="宋体" w:cs="宋体"/>
                <w:sz w:val="18"/>
                <w:szCs w:val="18"/>
              </w:rPr>
            </w:pPr>
          </w:p>
        </w:tc>
        <w:tc>
          <w:tcPr>
            <w:tcW w:w="2535" w:type="dxa"/>
            <w:gridSpan w:val="2"/>
            <w:vMerge w:val="continue"/>
          </w:tcPr>
          <w:p>
            <w:pPr>
              <w:rPr>
                <w:rFonts w:ascii="宋体" w:hAnsi="宋体" w:eastAsia="宋体" w:cs="宋体"/>
                <w:sz w:val="18"/>
                <w:szCs w:val="18"/>
              </w:rPr>
            </w:pPr>
          </w:p>
        </w:tc>
        <w:tc>
          <w:tcPr>
            <w:tcW w:w="3810" w:type="dxa"/>
            <w:gridSpan w:val="2"/>
            <w:vAlign w:val="center"/>
          </w:tcPr>
          <w:p>
            <w:pPr>
              <w:spacing w:line="266" w:lineRule="exact"/>
              <w:jc w:val="left"/>
              <w:rPr>
                <w:rFonts w:ascii="宋体" w:hAnsi="宋体" w:eastAsia="宋体" w:cs="宋体"/>
                <w:sz w:val="18"/>
                <w:szCs w:val="18"/>
              </w:rPr>
            </w:pPr>
            <w:r>
              <w:rPr>
                <w:rFonts w:hint="eastAsia" w:ascii="宋体" w:hAnsi="宋体" w:eastAsia="宋体" w:cs="宋体"/>
                <w:sz w:val="18"/>
                <w:szCs w:val="18"/>
              </w:rPr>
              <w:t>基层组织建设及农村公共服务运行项目成本</w:t>
            </w:r>
          </w:p>
        </w:tc>
        <w:tc>
          <w:tcPr>
            <w:tcW w:w="1320"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101万元</w:t>
            </w:r>
          </w:p>
        </w:tc>
        <w:tc>
          <w:tcPr>
            <w:tcW w:w="1485" w:type="dxa"/>
            <w:vAlign w:val="center"/>
          </w:tcPr>
          <w:p>
            <w:pPr>
              <w:jc w:val="center"/>
              <w:rPr>
                <w:rFonts w:ascii="宋体" w:hAnsi="宋体" w:eastAsia="宋体" w:cs="宋体"/>
                <w:sz w:val="18"/>
                <w:szCs w:val="18"/>
              </w:rPr>
            </w:pPr>
            <w:r>
              <w:rPr>
                <w:rFonts w:hint="eastAsia" w:ascii="宋体" w:hAnsi="宋体" w:eastAsia="宋体" w:cs="宋体"/>
                <w:sz w:val="18"/>
                <w:szCs w:val="18"/>
              </w:rPr>
              <w:t>101万元</w:t>
            </w:r>
          </w:p>
        </w:tc>
        <w:tc>
          <w:tcPr>
            <w:tcW w:w="1531" w:type="dxa"/>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jc w:val="center"/>
        </w:trPr>
        <w:tc>
          <w:tcPr>
            <w:tcW w:w="1615" w:type="dxa"/>
            <w:vMerge w:val="continue"/>
          </w:tcPr>
          <w:p>
            <w:pPr>
              <w:rPr>
                <w:rFonts w:ascii="宋体" w:hAnsi="宋体" w:eastAsia="宋体" w:cs="宋体"/>
                <w:sz w:val="18"/>
                <w:szCs w:val="18"/>
              </w:rPr>
            </w:pPr>
          </w:p>
        </w:tc>
        <w:tc>
          <w:tcPr>
            <w:tcW w:w="1255" w:type="dxa"/>
            <w:vMerge w:val="restart"/>
          </w:tcPr>
          <w:p>
            <w:pPr>
              <w:spacing w:before="1311" w:line="255" w:lineRule="exact"/>
              <w:jc w:val="center"/>
              <w:rPr>
                <w:rFonts w:ascii="宋体" w:hAnsi="宋体" w:eastAsia="宋体" w:cs="宋体"/>
                <w:sz w:val="18"/>
                <w:szCs w:val="18"/>
              </w:rPr>
            </w:pPr>
            <w:r>
              <w:rPr>
                <w:rFonts w:hint="eastAsia" w:ascii="宋体" w:hAnsi="宋体" w:eastAsia="宋体" w:cs="宋体"/>
                <w:sz w:val="18"/>
                <w:szCs w:val="18"/>
              </w:rPr>
              <w:t>效益指标</w:t>
            </w:r>
          </w:p>
        </w:tc>
        <w:tc>
          <w:tcPr>
            <w:tcW w:w="2535" w:type="dxa"/>
            <w:gridSpan w:val="2"/>
            <w:vAlign w:val="center"/>
          </w:tcPr>
          <w:p>
            <w:pPr>
              <w:spacing w:before="199" w:line="208" w:lineRule="exact"/>
              <w:jc w:val="center"/>
              <w:rPr>
                <w:rFonts w:ascii="宋体" w:hAnsi="宋体" w:eastAsia="宋体" w:cs="宋体"/>
                <w:sz w:val="18"/>
                <w:szCs w:val="18"/>
              </w:rPr>
            </w:pPr>
            <w:r>
              <w:rPr>
                <w:rFonts w:hint="eastAsia" w:ascii="宋体" w:hAnsi="宋体" w:eastAsia="宋体" w:cs="宋体"/>
                <w:sz w:val="18"/>
                <w:szCs w:val="18"/>
              </w:rPr>
              <w:t>经济效益</w:t>
            </w:r>
          </w:p>
          <w:p>
            <w:pPr>
              <w:spacing w:line="208" w:lineRule="exact"/>
              <w:jc w:val="center"/>
              <w:rPr>
                <w:rFonts w:ascii="宋体" w:hAnsi="宋体" w:eastAsia="宋体" w:cs="宋体"/>
                <w:sz w:val="18"/>
                <w:szCs w:val="18"/>
              </w:rPr>
            </w:pPr>
            <w:r>
              <w:rPr>
                <w:rFonts w:hint="eastAsia" w:ascii="宋体" w:hAnsi="宋体" w:eastAsia="宋体" w:cs="宋体"/>
                <w:sz w:val="18"/>
                <w:szCs w:val="18"/>
              </w:rPr>
              <w:t>指标</w:t>
            </w:r>
          </w:p>
        </w:tc>
        <w:tc>
          <w:tcPr>
            <w:tcW w:w="3810" w:type="dxa"/>
            <w:gridSpan w:val="2"/>
            <w:vAlign w:val="center"/>
          </w:tcPr>
          <w:p>
            <w:pPr>
              <w:spacing w:line="252" w:lineRule="exact"/>
              <w:jc w:val="left"/>
              <w:rPr>
                <w:rFonts w:ascii="宋体" w:hAnsi="宋体" w:eastAsia="宋体" w:cs="宋体"/>
                <w:sz w:val="18"/>
                <w:szCs w:val="18"/>
              </w:rPr>
            </w:pPr>
            <w:r>
              <w:rPr>
                <w:rFonts w:hint="eastAsia" w:ascii="宋体" w:hAnsi="宋体" w:eastAsia="宋体" w:cs="宋体"/>
                <w:sz w:val="18"/>
                <w:szCs w:val="18"/>
              </w:rPr>
              <w:t>烤烟生产带动当地村民增收较上年增加比例</w:t>
            </w:r>
          </w:p>
        </w:tc>
        <w:tc>
          <w:tcPr>
            <w:tcW w:w="1320" w:type="dxa"/>
            <w:gridSpan w:val="2"/>
            <w:vAlign w:val="center"/>
          </w:tcPr>
          <w:p>
            <w:pPr>
              <w:jc w:val="center"/>
              <w:rPr>
                <w:rFonts w:ascii="宋体" w:hAnsi="宋体" w:eastAsia="宋体" w:cs="宋体"/>
                <w:sz w:val="18"/>
                <w:szCs w:val="18"/>
              </w:rPr>
            </w:pPr>
            <w:r>
              <w:rPr>
                <w:rFonts w:ascii="Arial" w:hAnsi="Arial" w:eastAsia="宋体" w:cs="Arial"/>
                <w:sz w:val="18"/>
                <w:szCs w:val="18"/>
              </w:rPr>
              <w:t>≥</w:t>
            </w:r>
            <w:r>
              <w:rPr>
                <w:rFonts w:hint="eastAsia" w:ascii="宋体" w:hAnsi="宋体" w:eastAsia="宋体" w:cs="宋体"/>
                <w:sz w:val="18"/>
                <w:szCs w:val="18"/>
              </w:rPr>
              <w:t>20%</w:t>
            </w:r>
          </w:p>
        </w:tc>
        <w:tc>
          <w:tcPr>
            <w:tcW w:w="1485" w:type="dxa"/>
            <w:vAlign w:val="center"/>
          </w:tcPr>
          <w:p>
            <w:pPr>
              <w:jc w:val="center"/>
              <w:rPr>
                <w:rFonts w:ascii="宋体" w:hAnsi="宋体" w:eastAsia="宋体" w:cs="宋体"/>
                <w:sz w:val="18"/>
                <w:szCs w:val="18"/>
              </w:rPr>
            </w:pPr>
            <w:r>
              <w:rPr>
                <w:rFonts w:hint="eastAsia" w:ascii="宋体" w:hAnsi="宋体" w:eastAsia="宋体" w:cs="宋体"/>
                <w:sz w:val="18"/>
                <w:szCs w:val="18"/>
              </w:rPr>
              <w:t>20%</w:t>
            </w:r>
          </w:p>
        </w:tc>
        <w:tc>
          <w:tcPr>
            <w:tcW w:w="1531" w:type="dxa"/>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jc w:val="center"/>
        </w:trPr>
        <w:tc>
          <w:tcPr>
            <w:tcW w:w="1615" w:type="dxa"/>
            <w:vMerge w:val="continue"/>
          </w:tcPr>
          <w:p>
            <w:pPr>
              <w:rPr>
                <w:rFonts w:ascii="宋体" w:hAnsi="宋体" w:eastAsia="宋体" w:cs="宋体"/>
                <w:sz w:val="18"/>
                <w:szCs w:val="18"/>
              </w:rPr>
            </w:pPr>
          </w:p>
        </w:tc>
        <w:tc>
          <w:tcPr>
            <w:tcW w:w="1255" w:type="dxa"/>
            <w:vMerge w:val="continue"/>
          </w:tcPr>
          <w:p>
            <w:pPr>
              <w:rPr>
                <w:rFonts w:ascii="宋体" w:hAnsi="宋体" w:eastAsia="宋体" w:cs="宋体"/>
                <w:sz w:val="18"/>
                <w:szCs w:val="18"/>
              </w:rPr>
            </w:pPr>
          </w:p>
        </w:tc>
        <w:tc>
          <w:tcPr>
            <w:tcW w:w="2535" w:type="dxa"/>
            <w:gridSpan w:val="2"/>
            <w:vAlign w:val="center"/>
          </w:tcPr>
          <w:p>
            <w:pPr>
              <w:spacing w:before="62" w:line="200" w:lineRule="exact"/>
              <w:jc w:val="center"/>
              <w:rPr>
                <w:rFonts w:ascii="宋体" w:hAnsi="宋体" w:eastAsia="宋体" w:cs="宋体"/>
                <w:sz w:val="18"/>
                <w:szCs w:val="18"/>
              </w:rPr>
            </w:pPr>
            <w:r>
              <w:rPr>
                <w:rFonts w:hint="eastAsia" w:ascii="宋体" w:hAnsi="宋体" w:eastAsia="宋体" w:cs="宋体"/>
                <w:sz w:val="18"/>
                <w:szCs w:val="18"/>
              </w:rPr>
              <w:t>社会效益指标</w:t>
            </w:r>
          </w:p>
        </w:tc>
        <w:tc>
          <w:tcPr>
            <w:tcW w:w="3810" w:type="dxa"/>
            <w:gridSpan w:val="2"/>
            <w:vAlign w:val="center"/>
          </w:tcPr>
          <w:p>
            <w:pPr>
              <w:spacing w:line="252" w:lineRule="exact"/>
              <w:jc w:val="left"/>
              <w:rPr>
                <w:rFonts w:ascii="宋体" w:hAnsi="宋体" w:eastAsia="宋体" w:cs="宋体"/>
                <w:sz w:val="18"/>
                <w:szCs w:val="18"/>
              </w:rPr>
            </w:pPr>
            <w:r>
              <w:rPr>
                <w:rFonts w:hint="eastAsia" w:ascii="宋体" w:hAnsi="宋体" w:eastAsia="宋体" w:cs="宋体"/>
                <w:sz w:val="18"/>
                <w:szCs w:val="18"/>
              </w:rPr>
              <w:t>完善政府公共服务能力，提升整体服务水平</w:t>
            </w:r>
          </w:p>
        </w:tc>
        <w:tc>
          <w:tcPr>
            <w:tcW w:w="1320"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提升</w:t>
            </w:r>
          </w:p>
        </w:tc>
        <w:tc>
          <w:tcPr>
            <w:tcW w:w="1485" w:type="dxa"/>
            <w:vAlign w:val="center"/>
          </w:tcPr>
          <w:p>
            <w:pPr>
              <w:jc w:val="center"/>
              <w:rPr>
                <w:rFonts w:ascii="宋体" w:hAnsi="宋体" w:eastAsia="宋体" w:cs="宋体"/>
                <w:sz w:val="18"/>
                <w:szCs w:val="18"/>
              </w:rPr>
            </w:pPr>
            <w:r>
              <w:rPr>
                <w:rFonts w:hint="eastAsia" w:ascii="宋体" w:hAnsi="宋体" w:eastAsia="宋体" w:cs="宋体"/>
                <w:sz w:val="18"/>
                <w:szCs w:val="18"/>
              </w:rPr>
              <w:t>提升</w:t>
            </w:r>
          </w:p>
        </w:tc>
        <w:tc>
          <w:tcPr>
            <w:tcW w:w="1531" w:type="dxa"/>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jc w:val="center"/>
        </w:trPr>
        <w:tc>
          <w:tcPr>
            <w:tcW w:w="1615" w:type="dxa"/>
            <w:vMerge w:val="continue"/>
          </w:tcPr>
          <w:p>
            <w:pPr>
              <w:rPr>
                <w:rFonts w:ascii="宋体" w:hAnsi="宋体" w:eastAsia="宋体" w:cs="宋体"/>
                <w:sz w:val="18"/>
                <w:szCs w:val="18"/>
              </w:rPr>
            </w:pPr>
          </w:p>
        </w:tc>
        <w:tc>
          <w:tcPr>
            <w:tcW w:w="1255" w:type="dxa"/>
            <w:vMerge w:val="continue"/>
          </w:tcPr>
          <w:p>
            <w:pPr>
              <w:rPr>
                <w:rFonts w:ascii="宋体" w:hAnsi="宋体" w:eastAsia="宋体" w:cs="宋体"/>
                <w:sz w:val="18"/>
                <w:szCs w:val="18"/>
              </w:rPr>
            </w:pPr>
          </w:p>
        </w:tc>
        <w:tc>
          <w:tcPr>
            <w:tcW w:w="2535" w:type="dxa"/>
            <w:gridSpan w:val="2"/>
            <w:vAlign w:val="center"/>
          </w:tcPr>
          <w:p>
            <w:pPr>
              <w:spacing w:before="45" w:line="220" w:lineRule="exact"/>
              <w:jc w:val="center"/>
              <w:rPr>
                <w:rFonts w:ascii="宋体" w:hAnsi="宋体" w:eastAsia="宋体" w:cs="宋体"/>
                <w:sz w:val="18"/>
                <w:szCs w:val="18"/>
              </w:rPr>
            </w:pPr>
            <w:r>
              <w:rPr>
                <w:rFonts w:hint="eastAsia" w:ascii="宋体" w:hAnsi="宋体" w:eastAsia="宋体" w:cs="宋体"/>
                <w:sz w:val="18"/>
                <w:szCs w:val="18"/>
              </w:rPr>
              <w:t>生态效益指标</w:t>
            </w:r>
          </w:p>
        </w:tc>
        <w:tc>
          <w:tcPr>
            <w:tcW w:w="3810" w:type="dxa"/>
            <w:gridSpan w:val="2"/>
            <w:vAlign w:val="center"/>
          </w:tcPr>
          <w:p>
            <w:pPr>
              <w:spacing w:line="270" w:lineRule="exact"/>
              <w:jc w:val="left"/>
              <w:rPr>
                <w:rFonts w:ascii="宋体" w:hAnsi="宋体" w:eastAsia="宋体" w:cs="宋体"/>
                <w:sz w:val="18"/>
                <w:szCs w:val="18"/>
              </w:rPr>
            </w:pPr>
            <w:r>
              <w:rPr>
                <w:rFonts w:hint="eastAsia" w:ascii="宋体" w:hAnsi="宋体" w:eastAsia="宋体" w:cs="宋体"/>
                <w:sz w:val="18"/>
                <w:szCs w:val="18"/>
              </w:rPr>
              <w:t>生活环境美化</w:t>
            </w:r>
          </w:p>
        </w:tc>
        <w:tc>
          <w:tcPr>
            <w:tcW w:w="1320"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有效</w:t>
            </w:r>
          </w:p>
        </w:tc>
        <w:tc>
          <w:tcPr>
            <w:tcW w:w="1485" w:type="dxa"/>
            <w:vAlign w:val="center"/>
          </w:tcPr>
          <w:p>
            <w:pPr>
              <w:jc w:val="center"/>
              <w:rPr>
                <w:rFonts w:ascii="宋体" w:hAnsi="宋体" w:eastAsia="宋体" w:cs="宋体"/>
                <w:sz w:val="18"/>
                <w:szCs w:val="18"/>
              </w:rPr>
            </w:pPr>
            <w:r>
              <w:rPr>
                <w:rFonts w:hint="eastAsia" w:ascii="宋体" w:hAnsi="宋体" w:eastAsia="宋体" w:cs="宋体"/>
                <w:sz w:val="18"/>
                <w:szCs w:val="18"/>
              </w:rPr>
              <w:t>有效</w:t>
            </w:r>
          </w:p>
        </w:tc>
        <w:tc>
          <w:tcPr>
            <w:tcW w:w="1531" w:type="dxa"/>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jc w:val="center"/>
        </w:trPr>
        <w:tc>
          <w:tcPr>
            <w:tcW w:w="1615" w:type="dxa"/>
            <w:vMerge w:val="continue"/>
          </w:tcPr>
          <w:p>
            <w:pPr>
              <w:rPr>
                <w:rFonts w:ascii="宋体" w:hAnsi="宋体" w:eastAsia="宋体" w:cs="宋体"/>
                <w:sz w:val="18"/>
                <w:szCs w:val="18"/>
              </w:rPr>
            </w:pPr>
          </w:p>
        </w:tc>
        <w:tc>
          <w:tcPr>
            <w:tcW w:w="1255" w:type="dxa"/>
            <w:vMerge w:val="continue"/>
          </w:tcPr>
          <w:p>
            <w:pPr>
              <w:rPr>
                <w:rFonts w:ascii="宋体" w:hAnsi="宋体" w:eastAsia="宋体" w:cs="宋体"/>
                <w:sz w:val="18"/>
                <w:szCs w:val="18"/>
              </w:rPr>
            </w:pPr>
          </w:p>
        </w:tc>
        <w:tc>
          <w:tcPr>
            <w:tcW w:w="2535" w:type="dxa"/>
            <w:gridSpan w:val="2"/>
          </w:tcPr>
          <w:p>
            <w:pPr>
              <w:spacing w:before="214"/>
              <w:ind w:firstLine="540" w:firstLineChars="300"/>
              <w:rPr>
                <w:rFonts w:ascii="宋体" w:hAnsi="宋体" w:eastAsia="宋体" w:cs="宋体"/>
                <w:sz w:val="18"/>
                <w:szCs w:val="18"/>
              </w:rPr>
            </w:pPr>
            <w:r>
              <w:rPr>
                <w:rFonts w:hint="eastAsia" w:ascii="宋体" w:hAnsi="宋体" w:eastAsia="宋体" w:cs="宋体"/>
                <w:sz w:val="18"/>
                <w:szCs w:val="18"/>
              </w:rPr>
              <w:t>可持续影响指标</w:t>
            </w:r>
          </w:p>
        </w:tc>
        <w:tc>
          <w:tcPr>
            <w:tcW w:w="3810" w:type="dxa"/>
            <w:gridSpan w:val="2"/>
            <w:vAlign w:val="center"/>
          </w:tcPr>
          <w:p>
            <w:pPr>
              <w:spacing w:line="252" w:lineRule="exact"/>
              <w:jc w:val="left"/>
              <w:rPr>
                <w:rFonts w:ascii="宋体" w:hAnsi="宋体" w:eastAsia="宋体" w:cs="宋体"/>
                <w:sz w:val="18"/>
                <w:szCs w:val="18"/>
              </w:rPr>
            </w:pPr>
            <w:r>
              <w:rPr>
                <w:rFonts w:hint="eastAsia" w:ascii="宋体" w:hAnsi="宋体" w:eastAsia="宋体" w:cs="宋体"/>
                <w:sz w:val="18"/>
                <w:szCs w:val="18"/>
              </w:rPr>
              <w:t>促进村民对国家政策理解支持率</w:t>
            </w:r>
          </w:p>
        </w:tc>
        <w:tc>
          <w:tcPr>
            <w:tcW w:w="1320" w:type="dxa"/>
            <w:gridSpan w:val="2"/>
            <w:vAlign w:val="center"/>
          </w:tcPr>
          <w:p>
            <w:pPr>
              <w:jc w:val="center"/>
              <w:rPr>
                <w:rFonts w:ascii="宋体" w:hAnsi="宋体" w:eastAsia="宋体" w:cs="宋体"/>
                <w:sz w:val="18"/>
                <w:szCs w:val="18"/>
              </w:rPr>
            </w:pPr>
            <w:r>
              <w:rPr>
                <w:rFonts w:ascii="Arial" w:hAnsi="Arial" w:eastAsia="宋体" w:cs="Arial"/>
                <w:sz w:val="18"/>
                <w:szCs w:val="18"/>
              </w:rPr>
              <w:t>≥</w:t>
            </w:r>
            <w:r>
              <w:rPr>
                <w:rFonts w:hint="eastAsia" w:ascii="宋体" w:hAnsi="宋体" w:eastAsia="宋体" w:cs="宋体"/>
                <w:sz w:val="18"/>
                <w:szCs w:val="18"/>
              </w:rPr>
              <w:t>95%</w:t>
            </w:r>
          </w:p>
        </w:tc>
        <w:tc>
          <w:tcPr>
            <w:tcW w:w="1485" w:type="dxa"/>
            <w:vAlign w:val="center"/>
          </w:tcPr>
          <w:p>
            <w:pPr>
              <w:jc w:val="center"/>
              <w:rPr>
                <w:rFonts w:ascii="宋体" w:hAnsi="宋体" w:eastAsia="宋体" w:cs="宋体"/>
                <w:sz w:val="18"/>
                <w:szCs w:val="18"/>
              </w:rPr>
            </w:pPr>
            <w:r>
              <w:rPr>
                <w:rFonts w:hint="eastAsia" w:ascii="宋体" w:hAnsi="宋体" w:eastAsia="宋体" w:cs="宋体"/>
                <w:sz w:val="18"/>
                <w:szCs w:val="18"/>
              </w:rPr>
              <w:t>95%</w:t>
            </w:r>
          </w:p>
        </w:tc>
        <w:tc>
          <w:tcPr>
            <w:tcW w:w="1531" w:type="dxa"/>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2" w:hRule="atLeast"/>
          <w:jc w:val="center"/>
        </w:trPr>
        <w:tc>
          <w:tcPr>
            <w:tcW w:w="1615" w:type="dxa"/>
            <w:vMerge w:val="continue"/>
          </w:tcPr>
          <w:p>
            <w:pPr>
              <w:rPr>
                <w:rFonts w:ascii="宋体" w:hAnsi="宋体" w:eastAsia="宋体" w:cs="宋体"/>
                <w:sz w:val="18"/>
                <w:szCs w:val="18"/>
              </w:rPr>
            </w:pPr>
          </w:p>
        </w:tc>
        <w:tc>
          <w:tcPr>
            <w:tcW w:w="1255" w:type="dxa"/>
            <w:vMerge w:val="restart"/>
          </w:tcPr>
          <w:p>
            <w:pPr>
              <w:spacing w:before="136" w:line="189" w:lineRule="exact"/>
              <w:jc w:val="center"/>
              <w:rPr>
                <w:rFonts w:ascii="宋体" w:hAnsi="宋体" w:eastAsia="宋体" w:cs="宋体"/>
                <w:sz w:val="18"/>
                <w:szCs w:val="18"/>
              </w:rPr>
            </w:pPr>
            <w:r>
              <w:rPr>
                <w:rFonts w:hint="eastAsia" w:ascii="宋体" w:hAnsi="宋体" w:eastAsia="宋体" w:cs="宋体"/>
                <w:sz w:val="18"/>
                <w:szCs w:val="18"/>
              </w:rPr>
              <w:t>满意度</w:t>
            </w:r>
          </w:p>
          <w:p>
            <w:pPr>
              <w:spacing w:line="200" w:lineRule="exact"/>
              <w:jc w:val="center"/>
              <w:rPr>
                <w:rFonts w:ascii="宋体" w:hAnsi="宋体" w:eastAsia="宋体" w:cs="宋体"/>
                <w:sz w:val="18"/>
                <w:szCs w:val="18"/>
              </w:rPr>
            </w:pPr>
            <w:r>
              <w:rPr>
                <w:rFonts w:hint="eastAsia" w:ascii="宋体" w:hAnsi="宋体" w:eastAsia="宋体" w:cs="宋体"/>
                <w:sz w:val="18"/>
                <w:szCs w:val="18"/>
              </w:rPr>
              <w:t>指标</w:t>
            </w:r>
          </w:p>
        </w:tc>
        <w:tc>
          <w:tcPr>
            <w:tcW w:w="2535" w:type="dxa"/>
            <w:gridSpan w:val="2"/>
            <w:vMerge w:val="restart"/>
          </w:tcPr>
          <w:p>
            <w:pPr>
              <w:spacing w:before="138"/>
              <w:jc w:val="center"/>
              <w:rPr>
                <w:rFonts w:ascii="宋体" w:hAnsi="宋体" w:eastAsia="宋体" w:cs="宋体"/>
                <w:sz w:val="18"/>
                <w:szCs w:val="18"/>
              </w:rPr>
            </w:pPr>
            <w:r>
              <w:rPr>
                <w:rFonts w:hint="eastAsia" w:ascii="宋体" w:hAnsi="宋体" w:eastAsia="宋体" w:cs="宋体"/>
                <w:sz w:val="18"/>
                <w:szCs w:val="18"/>
              </w:rPr>
              <w:t>服务对象满</w:t>
            </w:r>
          </w:p>
          <w:p>
            <w:pPr>
              <w:jc w:val="center"/>
              <w:rPr>
                <w:rFonts w:ascii="宋体" w:hAnsi="宋体" w:eastAsia="宋体" w:cs="宋体"/>
                <w:sz w:val="18"/>
                <w:szCs w:val="18"/>
              </w:rPr>
            </w:pPr>
            <w:r>
              <w:rPr>
                <w:rFonts w:hint="eastAsia" w:ascii="宋体" w:hAnsi="宋体" w:eastAsia="宋体" w:cs="宋体"/>
                <w:sz w:val="18"/>
                <w:szCs w:val="18"/>
              </w:rPr>
              <w:t>意度指标</w:t>
            </w:r>
          </w:p>
        </w:tc>
        <w:tc>
          <w:tcPr>
            <w:tcW w:w="3810" w:type="dxa"/>
            <w:gridSpan w:val="2"/>
            <w:vAlign w:val="center"/>
          </w:tcPr>
          <w:p>
            <w:pPr>
              <w:spacing w:line="266" w:lineRule="exact"/>
              <w:jc w:val="left"/>
              <w:rPr>
                <w:rFonts w:ascii="宋体" w:hAnsi="宋体" w:eastAsia="宋体" w:cs="宋体"/>
                <w:sz w:val="18"/>
                <w:szCs w:val="18"/>
              </w:rPr>
            </w:pPr>
            <w:r>
              <w:rPr>
                <w:rFonts w:hint="eastAsia" w:ascii="宋体" w:hAnsi="宋体" w:eastAsia="宋体" w:cs="宋体"/>
                <w:sz w:val="18"/>
                <w:szCs w:val="18"/>
              </w:rPr>
              <w:t>全镇镇村组干部、退休干部、遗属人员、临聘人员满意度</w:t>
            </w:r>
          </w:p>
        </w:tc>
        <w:tc>
          <w:tcPr>
            <w:tcW w:w="1320"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95%</w:t>
            </w:r>
          </w:p>
        </w:tc>
        <w:tc>
          <w:tcPr>
            <w:tcW w:w="1485" w:type="dxa"/>
            <w:vAlign w:val="center"/>
          </w:tcPr>
          <w:p>
            <w:pPr>
              <w:jc w:val="center"/>
              <w:rPr>
                <w:rFonts w:ascii="宋体" w:hAnsi="宋体" w:eastAsia="宋体" w:cs="宋体"/>
                <w:sz w:val="18"/>
                <w:szCs w:val="18"/>
              </w:rPr>
            </w:pPr>
            <w:r>
              <w:rPr>
                <w:rFonts w:hint="eastAsia" w:ascii="宋体" w:hAnsi="宋体" w:eastAsia="宋体" w:cs="宋体"/>
                <w:sz w:val="18"/>
                <w:szCs w:val="18"/>
              </w:rPr>
              <w:t>95%</w:t>
            </w:r>
          </w:p>
        </w:tc>
        <w:tc>
          <w:tcPr>
            <w:tcW w:w="1531" w:type="dxa"/>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jc w:val="center"/>
        </w:trPr>
        <w:tc>
          <w:tcPr>
            <w:tcW w:w="1615" w:type="dxa"/>
            <w:vMerge w:val="continue"/>
          </w:tcPr>
          <w:p>
            <w:pPr>
              <w:rPr>
                <w:rFonts w:ascii="宋体" w:hAnsi="宋体" w:eastAsia="宋体" w:cs="宋体"/>
                <w:sz w:val="18"/>
                <w:szCs w:val="18"/>
              </w:rPr>
            </w:pPr>
          </w:p>
        </w:tc>
        <w:tc>
          <w:tcPr>
            <w:tcW w:w="1255" w:type="dxa"/>
            <w:vMerge w:val="continue"/>
          </w:tcPr>
          <w:p>
            <w:pPr>
              <w:rPr>
                <w:rFonts w:ascii="宋体" w:hAnsi="宋体" w:eastAsia="宋体" w:cs="宋体"/>
                <w:sz w:val="18"/>
                <w:szCs w:val="18"/>
              </w:rPr>
            </w:pPr>
          </w:p>
        </w:tc>
        <w:tc>
          <w:tcPr>
            <w:tcW w:w="2535" w:type="dxa"/>
            <w:gridSpan w:val="2"/>
            <w:vMerge w:val="continue"/>
          </w:tcPr>
          <w:p>
            <w:pPr>
              <w:rPr>
                <w:rFonts w:ascii="宋体" w:hAnsi="宋体" w:eastAsia="宋体" w:cs="宋体"/>
                <w:sz w:val="18"/>
                <w:szCs w:val="18"/>
              </w:rPr>
            </w:pPr>
          </w:p>
        </w:tc>
        <w:tc>
          <w:tcPr>
            <w:tcW w:w="3810" w:type="dxa"/>
            <w:gridSpan w:val="2"/>
            <w:vAlign w:val="center"/>
          </w:tcPr>
          <w:p>
            <w:pPr>
              <w:spacing w:line="270" w:lineRule="exact"/>
              <w:jc w:val="left"/>
              <w:rPr>
                <w:rFonts w:ascii="宋体" w:hAnsi="宋体" w:eastAsia="宋体" w:cs="宋体"/>
                <w:sz w:val="18"/>
                <w:szCs w:val="18"/>
              </w:rPr>
            </w:pPr>
            <w:r>
              <w:rPr>
                <w:rFonts w:hint="eastAsia" w:ascii="宋体" w:hAnsi="宋体" w:eastAsia="宋体" w:cs="宋体"/>
                <w:sz w:val="18"/>
                <w:szCs w:val="18"/>
              </w:rPr>
              <w:t>群众满意度</w:t>
            </w:r>
          </w:p>
        </w:tc>
        <w:tc>
          <w:tcPr>
            <w:tcW w:w="1320"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95%</w:t>
            </w:r>
          </w:p>
        </w:tc>
        <w:tc>
          <w:tcPr>
            <w:tcW w:w="1485" w:type="dxa"/>
            <w:vAlign w:val="center"/>
          </w:tcPr>
          <w:p>
            <w:pPr>
              <w:jc w:val="center"/>
              <w:rPr>
                <w:rFonts w:ascii="宋体" w:hAnsi="宋体" w:eastAsia="宋体" w:cs="宋体"/>
                <w:sz w:val="18"/>
                <w:szCs w:val="18"/>
              </w:rPr>
            </w:pPr>
            <w:r>
              <w:rPr>
                <w:rFonts w:hint="eastAsia" w:ascii="宋体" w:hAnsi="宋体" w:eastAsia="宋体" w:cs="宋体"/>
                <w:sz w:val="18"/>
                <w:szCs w:val="18"/>
              </w:rPr>
              <w:t>95%</w:t>
            </w:r>
          </w:p>
        </w:tc>
        <w:tc>
          <w:tcPr>
            <w:tcW w:w="1531" w:type="dxa"/>
            <w:vAlign w:val="center"/>
          </w:tcPr>
          <w:p>
            <w:pP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40" w:hRule="atLeast"/>
          <w:jc w:val="center"/>
        </w:trPr>
        <w:tc>
          <w:tcPr>
            <w:tcW w:w="10535" w:type="dxa"/>
            <w:gridSpan w:val="8"/>
          </w:tcPr>
          <w:p>
            <w:pPr>
              <w:jc w:val="center"/>
              <w:rPr>
                <w:rFonts w:ascii="宋体" w:hAnsi="宋体" w:eastAsia="宋体" w:cs="宋体"/>
                <w:sz w:val="18"/>
                <w:szCs w:val="18"/>
              </w:rPr>
            </w:pPr>
          </w:p>
          <w:p>
            <w:pPr>
              <w:jc w:val="center"/>
              <w:rPr>
                <w:rFonts w:ascii="宋体" w:hAnsi="宋体" w:eastAsia="宋体" w:cs="宋体"/>
                <w:sz w:val="18"/>
                <w:szCs w:val="18"/>
              </w:rPr>
            </w:pPr>
            <w:r>
              <w:rPr>
                <w:rFonts w:hint="eastAsia" w:ascii="宋体" w:hAnsi="宋体" w:eastAsia="宋体" w:cs="宋体"/>
                <w:sz w:val="18"/>
                <w:szCs w:val="18"/>
              </w:rPr>
              <w:t>总分</w:t>
            </w:r>
          </w:p>
        </w:tc>
        <w:tc>
          <w:tcPr>
            <w:tcW w:w="3016" w:type="dxa"/>
            <w:gridSpan w:val="2"/>
            <w:vAlign w:val="center"/>
          </w:tcPr>
          <w:p>
            <w:pPr>
              <w:jc w:val="center"/>
              <w:rPr>
                <w:rFonts w:ascii="宋体" w:hAnsi="宋体" w:eastAsia="宋体" w:cs="宋体"/>
                <w:sz w:val="18"/>
                <w:szCs w:val="18"/>
              </w:rPr>
            </w:pPr>
            <w:r>
              <w:rPr>
                <w:rFonts w:hint="eastAsia" w:ascii="宋体" w:hAnsi="宋体" w:eastAsia="宋体" w:cs="宋体"/>
                <w:sz w:val="18"/>
                <w:szCs w:val="18"/>
              </w:rPr>
              <w:t>95</w:t>
            </w:r>
          </w:p>
        </w:tc>
      </w:tr>
    </w:tbl>
    <w:p>
      <w:pPr>
        <w:spacing w:line="1" w:lineRule="exact"/>
      </w:pPr>
      <w:r>
        <mc:AlternateContent>
          <mc:Choice Requires="wps">
            <w:drawing>
              <wp:anchor distT="0" distB="0" distL="114300" distR="114300" simplePos="0" relativeHeight="251660288" behindDoc="0" locked="0" layoutInCell="1" allowOverlap="1">
                <wp:simplePos x="0" y="0"/>
                <wp:positionH relativeFrom="page">
                  <wp:posOffset>6134100</wp:posOffset>
                </wp:positionH>
                <wp:positionV relativeFrom="paragraph">
                  <wp:posOffset>9194800</wp:posOffset>
                </wp:positionV>
                <wp:extent cx="1117600" cy="190500"/>
                <wp:effectExtent l="0" t="0" r="0" b="0"/>
                <wp:wrapNone/>
                <wp:docPr id="42"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pPr>
                              <w:spacing w:line="380" w:lineRule="exact"/>
                              <w:jc w:val="center"/>
                            </w:pPr>
                            <w:r>
                              <w:rPr>
                                <w:rFonts w:hint="eastAsia" w:ascii="Arial" w:hAnsi="Arial" w:eastAsia="Arial"/>
                                <w:color w:val="000000"/>
                                <w:sz w:val="24"/>
                              </w:rPr>
                              <w:t>17-</w:t>
                            </w:r>
                          </w:p>
                        </w:txbxContent>
                      </wps:txbx>
                      <wps:bodyPr lIns="25400" tIns="0" rIns="25400" bIns="0">
                        <a:noAutofit/>
                      </wps:bodyPr>
                    </wps:wsp>
                  </a:graphicData>
                </a:graphic>
              </wp:anchor>
            </w:drawing>
          </mc:Choice>
          <mc:Fallback>
            <w:pict>
              <v:shape id="文本框 2" o:spid="_x0000_s1026" o:spt="202" type="#_x0000_t202" style="position:absolute;left:0pt;margin-left:483pt;margin-top:724pt;height:15pt;width:88pt;mso-position-horizontal-relative:page;z-index:251660288;mso-width-relative:page;mso-height-relative:page;" filled="f" stroked="f" coordsize="21600,21600" o:gfxdata="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Jf8v9kAAAAOAQAA&#10;DwAAAAAAAAABACAAAAAiAAAAZHJzL2Rvd25yZXYueG1sUEsBAhQAFAAAAAgAh07iQKJRElvfAQAA&#10;rQMAAA4AAAAAAAAAAQAgAAAAKAEAAGRycy9lMm9Eb2MueG1sUEsFBgAAAAAGAAYAWQEAAHkFAAAA&#10;AA==&#10;">
                <v:fill on="f" focussize="0,0"/>
                <v:stroke on="f" weight="0.5pt"/>
                <v:imagedata o:title=""/>
                <o:lock v:ext="edit" aspectratio="f"/>
                <v:textbox inset="2pt,0mm,2pt,0mm">
                  <w:txbxContent>
                    <w:p>
                      <w:pPr>
                        <w:spacing w:line="380" w:lineRule="exact"/>
                        <w:jc w:val="center"/>
                      </w:pPr>
                      <w:r>
                        <w:rPr>
                          <w:rFonts w:hint="eastAsia" w:ascii="Arial" w:hAnsi="Arial" w:eastAsia="Arial"/>
                          <w:color w:val="000000"/>
                          <w:sz w:val="24"/>
                        </w:rPr>
                        <w:t>17-</w:t>
                      </w:r>
                    </w:p>
                  </w:txbxContent>
                </v:textbox>
              </v:shape>
            </w:pict>
          </mc:Fallback>
        </mc:AlternateContent>
      </w:r>
    </w:p>
    <w:p>
      <w:pPr>
        <w:rPr>
          <w:rFonts w:ascii="宋体" w:hAnsi="宋体" w:eastAsia="宋体" w:cs="宋体"/>
          <w:color w:val="000000"/>
          <w:sz w:val="18"/>
          <w:szCs w:val="18"/>
        </w:rPr>
        <w:sectPr>
          <w:footerReference r:id="rId5" w:type="default"/>
          <w:pgSz w:w="16838" w:h="11906" w:orient="landscape"/>
          <w:pgMar w:top="1800" w:right="1440" w:bottom="1973" w:left="1497" w:header="851" w:footer="992" w:gutter="0"/>
          <w:cols w:space="425" w:num="1"/>
          <w:docGrid w:type="lines" w:linePitch="312" w:charSpace="0"/>
        </w:sectPr>
      </w:pPr>
    </w:p>
    <w:p>
      <w:pPr>
        <w:pStyle w:val="5"/>
        <w:widowControl/>
        <w:spacing w:line="600" w:lineRule="exact"/>
        <w:rPr>
          <w:rFonts w:ascii="黑体" w:hAnsi="宋体" w:eastAsia="仿宋" w:cs="黑体"/>
          <w:sz w:val="44"/>
          <w:szCs w:val="44"/>
        </w:rPr>
      </w:pPr>
      <w:r>
        <w:rPr>
          <w:rStyle w:val="24"/>
          <w:rFonts w:hint="eastAsia" w:ascii="仿宋" w:hAnsi="仿宋" w:eastAsia="仿宋" w:cs="仿宋"/>
          <w:b w:val="0"/>
          <w:bCs w:val="0"/>
          <w:sz w:val="32"/>
          <w:szCs w:val="32"/>
        </w:rPr>
        <w:t>附件2-1</w:t>
      </w:r>
    </w:p>
    <w:p>
      <w:pPr>
        <w:spacing w:line="600" w:lineRule="exact"/>
        <w:jc w:val="center"/>
        <w:rPr>
          <w:rFonts w:ascii="黑体" w:hAnsi="宋体" w:eastAsia="黑体" w:cs="黑体"/>
          <w:sz w:val="44"/>
          <w:szCs w:val="44"/>
        </w:rPr>
      </w:pPr>
    </w:p>
    <w:p>
      <w:pPr>
        <w:spacing w:line="600" w:lineRule="exact"/>
        <w:jc w:val="center"/>
        <w:rPr>
          <w:rFonts w:ascii="黑体" w:hAnsi="宋体" w:eastAsia="黑体" w:cs="方正小标宋简体"/>
          <w:sz w:val="44"/>
          <w:szCs w:val="44"/>
        </w:rPr>
      </w:pPr>
      <w:r>
        <w:rPr>
          <w:rFonts w:hint="eastAsia" w:ascii="黑体" w:hAnsi="宋体" w:eastAsia="黑体" w:cs="黑体"/>
          <w:sz w:val="44"/>
          <w:szCs w:val="44"/>
        </w:rPr>
        <w:t>广元市昭化区虎跳镇人民政府</w:t>
      </w:r>
    </w:p>
    <w:p>
      <w:pPr>
        <w:spacing w:line="600" w:lineRule="exact"/>
        <w:jc w:val="center"/>
        <w:rPr>
          <w:rFonts w:ascii="黑体" w:hAnsi="宋体" w:eastAsia="黑体" w:cs="方正小标宋简体"/>
          <w:sz w:val="44"/>
          <w:szCs w:val="44"/>
        </w:rPr>
      </w:pPr>
      <w:r>
        <w:rPr>
          <w:rFonts w:hint="eastAsia" w:ascii="黑体" w:hAnsi="宋体" w:eastAsia="黑体" w:cs="黑体"/>
          <w:sz w:val="44"/>
          <w:szCs w:val="44"/>
        </w:rPr>
        <w:t>2022年基层组织活动和公共服务运行经费项目支出绩效自评报告</w:t>
      </w:r>
    </w:p>
    <w:p>
      <w:pPr>
        <w:spacing w:line="600" w:lineRule="exact"/>
        <w:ind w:firstLine="640" w:firstLineChars="200"/>
        <w:rPr>
          <w:rFonts w:ascii="仿宋_GB2312" w:eastAsia="仿宋_GB2312" w:cs="仿宋_GB2312"/>
          <w:sz w:val="32"/>
          <w:szCs w:val="32"/>
        </w:rPr>
      </w:pPr>
      <w:r>
        <w:rPr>
          <w:rFonts w:ascii="仿宋_GB2312" w:hAnsi="Times New Roman" w:eastAsia="仿宋_GB2312" w:cs="仿宋_GB2312"/>
          <w:sz w:val="32"/>
          <w:szCs w:val="32"/>
        </w:rPr>
        <w:t xml:space="preserve"> </w:t>
      </w:r>
    </w:p>
    <w:p>
      <w:pPr>
        <w:spacing w:line="600" w:lineRule="exact"/>
        <w:ind w:firstLine="643" w:firstLineChars="200"/>
        <w:rPr>
          <w:rFonts w:ascii="华文中宋" w:hAnsi="华文中宋" w:eastAsia="华文中宋" w:cs="华文中宋"/>
          <w:b/>
          <w:bCs/>
          <w:sz w:val="32"/>
          <w:szCs w:val="32"/>
        </w:rPr>
      </w:pPr>
      <w:r>
        <w:rPr>
          <w:rFonts w:ascii="华文中宋" w:hAnsi="华文中宋" w:eastAsia="华文中宋" w:cs="华文中宋"/>
          <w:b/>
          <w:bCs/>
          <w:sz w:val="32"/>
          <w:szCs w:val="32"/>
        </w:rPr>
        <w:t>一、评价工作开展及项目情况</w:t>
      </w:r>
    </w:p>
    <w:p>
      <w:pPr>
        <w:autoSpaceDE w:val="0"/>
        <w:spacing w:line="600" w:lineRule="exact"/>
        <w:ind w:firstLine="643" w:firstLineChars="200"/>
        <w:rPr>
          <w:rFonts w:ascii="华文仿宋" w:hAnsi="华文仿宋" w:eastAsia="华文仿宋" w:cs="华文仿宋"/>
          <w:b/>
          <w:bCs/>
          <w:sz w:val="32"/>
          <w:szCs w:val="32"/>
        </w:rPr>
      </w:pPr>
      <w:r>
        <w:rPr>
          <w:rFonts w:ascii="华文仿宋" w:hAnsi="华文仿宋" w:eastAsia="华文仿宋" w:cs="华文仿宋"/>
          <w:b/>
          <w:bCs/>
          <w:sz w:val="32"/>
          <w:szCs w:val="32"/>
        </w:rPr>
        <w:t>（一）项目基本情况</w:t>
      </w:r>
    </w:p>
    <w:p>
      <w:pPr>
        <w:autoSpaceDE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区财政局下达农公运资金101万元，我镇根据相关规定按12个村3个社区进行分配，各村均首先村民征求项目实施的意见，并将调查结果汇总后公示。经村“三委”审议初步方案，确定实施项目后在村民代表会议表决后实施。各村项目均先由实施方实施，待项目完成后，由镇财政所、联村干部、监督委员会、村民委员会共同验收。村委将项目实施资料收集上报财政所，由财政所将经费拨付给实施方。项目资金主要用于各村卫生保洁、道路沟渠及其他设施的维修、以及社区管理等。资金的使用符合相关规定。</w:t>
      </w:r>
    </w:p>
    <w:p>
      <w:pPr>
        <w:autoSpaceDE w:val="0"/>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（二）绩效评价总目标及阶段性目标</w:t>
      </w:r>
    </w:p>
    <w:p>
      <w:pPr>
        <w:pStyle w:val="6"/>
        <w:keepNext w:val="0"/>
        <w:keepLines w:val="0"/>
        <w:autoSpaceDE w:val="0"/>
        <w:spacing w:before="0" w:after="0" w:line="600" w:lineRule="exact"/>
        <w:ind w:firstLine="640" w:firstLineChars="200"/>
        <w:rPr>
          <w:rFonts w:ascii="仿宋_GB2312" w:hAnsi="仿宋_GB2312" w:eastAsia="仿宋_GB2312" w:cs="仿宋_GB2312"/>
          <w:b w:val="0"/>
        </w:rPr>
      </w:pPr>
      <w:r>
        <w:rPr>
          <w:rFonts w:hint="eastAsia" w:ascii="仿宋_GB2312" w:hAnsi="仿宋_GB2312" w:eastAsia="仿宋_GB2312" w:cs="仿宋_GB2312"/>
          <w:b w:val="0"/>
        </w:rPr>
        <w:t>1、项目支出绩效评价总目标</w:t>
      </w:r>
    </w:p>
    <w:p>
      <w:pPr>
        <w:autoSpaceDE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维护村卫生环境，保证村各项基础设施的正常运行，为村群众提供优良生产生活环境。</w:t>
      </w:r>
    </w:p>
    <w:p>
      <w:pPr>
        <w:autoSpaceDE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2、项目绩效评价阶段性目标</w:t>
      </w:r>
    </w:p>
    <w:p>
      <w:pPr>
        <w:autoSpaceDE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高质量完成每年经村民审定项目，不断提升村管理水平。</w:t>
      </w:r>
    </w:p>
    <w:p>
      <w:pPr>
        <w:autoSpaceDE w:val="0"/>
        <w:spacing w:line="600" w:lineRule="exact"/>
        <w:ind w:left="840"/>
        <w:rPr>
          <w:rFonts w:ascii="仿宋_GB2312" w:hAnsi="仿宋_GB2312" w:eastAsia="仿宋_GB2312" w:cs="仿宋_GB2312"/>
          <w:b/>
          <w:bCs/>
          <w:sz w:val="32"/>
          <w:szCs w:val="32"/>
        </w:rPr>
      </w:pPr>
      <w:r>
        <w:rPr>
          <w:rFonts w:hint="eastAsia" w:ascii="仿宋_GB2312" w:hAnsi="仿宋_GB2312" w:eastAsia="仿宋_GB2312" w:cs="仿宋_GB2312"/>
          <w:sz w:val="32"/>
          <w:szCs w:val="32"/>
        </w:rPr>
        <w:t>3、效评价工作开展情况</w:t>
      </w:r>
    </w:p>
    <w:p>
      <w:pPr>
        <w:autoSpaceDE w:val="0"/>
        <w:snapToGrid w:val="0"/>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通过对2022年</w:t>
      </w:r>
      <w:r>
        <w:rPr>
          <w:rFonts w:hint="eastAsia" w:ascii="仿宋_GB2312" w:hAnsi="仿宋_GB2312" w:eastAsia="仿宋_GB2312" w:cs="仿宋_GB2312"/>
          <w:sz w:val="32"/>
          <w:szCs w:val="32"/>
        </w:rPr>
        <w:t>公共运行维护资金项目</w:t>
      </w:r>
      <w:r>
        <w:rPr>
          <w:rFonts w:hint="eastAsia" w:ascii="仿宋_GB2312" w:hAnsi="仿宋_GB2312" w:eastAsia="仿宋_GB2312" w:cs="仿宋_GB2312"/>
          <w:color w:val="000000"/>
          <w:sz w:val="32"/>
          <w:szCs w:val="32"/>
        </w:rPr>
        <w:t>支出绩效的综合评价，实现财政资源的合理配置，提高财政性资金使用的经济性、效益性和效率性。通过了解</w:t>
      </w:r>
      <w:r>
        <w:rPr>
          <w:rFonts w:hint="eastAsia" w:ascii="仿宋_GB2312" w:hAnsi="仿宋_GB2312" w:eastAsia="仿宋_GB2312" w:cs="仿宋_GB2312"/>
          <w:sz w:val="32"/>
          <w:szCs w:val="32"/>
        </w:rPr>
        <w:t>项目资金</w:t>
      </w:r>
      <w:r>
        <w:rPr>
          <w:rFonts w:hint="eastAsia" w:ascii="仿宋_GB2312" w:hAnsi="仿宋_GB2312" w:eastAsia="仿宋_GB2312" w:cs="仿宋_GB2312"/>
          <w:color w:val="000000"/>
          <w:sz w:val="32"/>
          <w:szCs w:val="32"/>
        </w:rPr>
        <w:t>使用情况和取得的效果，总结</w:t>
      </w:r>
      <w:r>
        <w:rPr>
          <w:rFonts w:hint="eastAsia" w:ascii="仿宋_GB2312" w:hAnsi="仿宋_GB2312" w:eastAsia="仿宋_GB2312" w:cs="仿宋_GB2312"/>
          <w:sz w:val="32"/>
          <w:szCs w:val="32"/>
        </w:rPr>
        <w:t>项目专项资金支出及</w:t>
      </w:r>
      <w:r>
        <w:rPr>
          <w:rFonts w:hint="eastAsia" w:ascii="仿宋_GB2312" w:hAnsi="仿宋_GB2312" w:eastAsia="仿宋_GB2312" w:cs="仿宋_GB2312"/>
          <w:color w:val="000000"/>
          <w:sz w:val="32"/>
          <w:szCs w:val="32"/>
        </w:rPr>
        <w:t>项目管理经验，发现</w:t>
      </w:r>
      <w:r>
        <w:rPr>
          <w:rFonts w:hint="eastAsia" w:ascii="仿宋_GB2312" w:hAnsi="仿宋_GB2312" w:eastAsia="仿宋_GB2312" w:cs="仿宋_GB2312"/>
          <w:sz w:val="32"/>
          <w:szCs w:val="32"/>
        </w:rPr>
        <w:t>资金支出</w:t>
      </w:r>
      <w:r>
        <w:rPr>
          <w:rFonts w:hint="eastAsia" w:ascii="仿宋_GB2312" w:hAnsi="仿宋_GB2312" w:eastAsia="仿宋_GB2312" w:cs="仿宋_GB2312"/>
          <w:color w:val="000000"/>
          <w:sz w:val="32"/>
          <w:szCs w:val="32"/>
        </w:rPr>
        <w:t>存在的问题，进一步加强和规范资金管理，完善资金管理制度，提高</w:t>
      </w:r>
      <w:r>
        <w:rPr>
          <w:rFonts w:hint="eastAsia" w:ascii="仿宋_GB2312" w:hAnsi="仿宋_GB2312" w:eastAsia="仿宋_GB2312" w:cs="仿宋_GB2312"/>
          <w:sz w:val="32"/>
          <w:szCs w:val="32"/>
        </w:rPr>
        <w:t>资金支出</w:t>
      </w:r>
      <w:r>
        <w:rPr>
          <w:rFonts w:hint="eastAsia" w:ascii="仿宋_GB2312" w:hAnsi="仿宋_GB2312" w:eastAsia="仿宋_GB2312" w:cs="仿宋_GB2312"/>
          <w:color w:val="000000"/>
          <w:sz w:val="32"/>
          <w:szCs w:val="32"/>
        </w:rPr>
        <w:t>的管理水平，为申报绩效目标、优化财政支出结构提供决策参考和依据。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（三）项目自评步骤及方法。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绩效自评原则是按照科学规范原则，要求绩效评价严格遵循既定程序，科学可行；分级分类原则要求根据评价对象特点分类组织实施；绩效相关原则要求支出与其产出之间有紧密相关关系；评价结果应客观公正，并接受社会公开监督。</w:t>
      </w:r>
    </w:p>
    <w:p>
      <w:pPr>
        <w:spacing w:line="560" w:lineRule="exact"/>
        <w:ind w:firstLine="643" w:firstLineChars="200"/>
        <w:rPr>
          <w:rFonts w:ascii="华文中宋" w:hAnsi="华文中宋" w:eastAsia="华文中宋" w:cs="华文中宋"/>
          <w:b/>
          <w:bCs/>
          <w:sz w:val="32"/>
          <w:szCs w:val="32"/>
        </w:rPr>
      </w:pPr>
      <w:r>
        <w:rPr>
          <w:rFonts w:hint="eastAsia" w:ascii="华文中宋" w:hAnsi="华文中宋" w:eastAsia="华文中宋" w:cs="华文中宋"/>
          <w:b/>
          <w:bCs/>
          <w:sz w:val="32"/>
          <w:szCs w:val="32"/>
        </w:rPr>
        <w:t>二、项目资金申报及使用情况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（一）项目资金申报及批复情况。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2022年</w:t>
      </w:r>
      <w:r>
        <w:rPr>
          <w:rFonts w:hint="eastAsia" w:ascii="仿宋_GB2312" w:hAnsi="仿宋_GB2312" w:eastAsia="仿宋_GB2312" w:cs="仿宋_GB2312"/>
          <w:sz w:val="32"/>
          <w:szCs w:val="32"/>
        </w:rPr>
        <w:t>公共运行维护资金项目申报资金101万元，财政批复项目资金101万元，该项资金按流程申报及批复，符合资金管理办法等相关规定。</w:t>
      </w:r>
    </w:p>
    <w:p>
      <w:pPr>
        <w:spacing w:line="56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（二）资金计划、到位及使用情况。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1.资金计划。该项目资金属于年度预算，财政全额拨款，资金全部到位。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2.资金到位。2022年单位预算专项资金共计101万元，实际到位资金101万元，资金到位率100%。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3.资金使用。该项目资金实行专款专用，项目支出均有相关的授权审批，使用规范，会计核算结果真实、准确，全部用于民主党派各项工作的开展。</w:t>
      </w:r>
    </w:p>
    <w:p>
      <w:pPr>
        <w:spacing w:line="56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（三）项目财务管理情况。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各项目实施单位财务管理制度健全，是严格按照财务管理制度执行，账务处理及时，会计核算规范。</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三、项目实施及管理情况</w:t>
      </w:r>
    </w:p>
    <w:p>
      <w:pPr>
        <w:spacing w:line="56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（一）项目组织架构及实施流程。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项目实施严格采用审批制。严格按照相关制度执行，做到事前请示，事后按流程审批。</w:t>
      </w:r>
    </w:p>
    <w:p>
      <w:pPr>
        <w:spacing w:line="56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（二）项目管理情况。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在人员经费支出、公共支出方面严格执行，在保证各项任务顺利完成的同时，严格落实厉行节约的原则。</w:t>
      </w:r>
    </w:p>
    <w:p>
      <w:pPr>
        <w:spacing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（三）项目监管情况。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项目监管到位。在使用项目资金时，严格执行项目资金使用制度和财务制度，同时对各项目资金的使用流程进行监督，定时查看财务表报检查专项资金使用情况。</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 xml:space="preserve">四、项目绩效情况 </w:t>
      </w:r>
    </w:p>
    <w:p>
      <w:pPr>
        <w:spacing w:line="560" w:lineRule="exact"/>
        <w:ind w:firstLine="640" w:firstLineChars="200"/>
        <w:rPr>
          <w:rFonts w:ascii="仿宋_GB2312" w:hAnsi="仿宋_GB2312" w:eastAsia="仿宋_GB2312" w:cs="仿宋_GB2312"/>
          <w:sz w:val="32"/>
          <w:szCs w:val="32"/>
        </w:rPr>
      </w:pPr>
      <w:r>
        <w:rPr>
          <w:rFonts w:hint="eastAsia" w:ascii="楷体_GB2312" w:hAnsi="仿宋_GB2312" w:eastAsia="楷体_GB2312" w:cs="仿宋_GB2312"/>
          <w:sz w:val="32"/>
          <w:szCs w:val="32"/>
        </w:rPr>
        <w:t>（一）项目完成情况。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该项目属于专款专用，用于</w:t>
      </w:r>
      <w:r>
        <w:rPr>
          <w:rFonts w:hint="eastAsia" w:ascii="华文仿宋" w:hAnsi="华文仿宋" w:eastAsia="华文仿宋" w:cs="华文仿宋"/>
          <w:color w:val="000000"/>
          <w:sz w:val="32"/>
          <w:szCs w:val="32"/>
        </w:rPr>
        <w:t>2022</w:t>
      </w:r>
      <w:r>
        <w:rPr>
          <w:rFonts w:ascii="华文仿宋" w:hAnsi="华文仿宋" w:eastAsia="华文仿宋" w:cs="华文仿宋"/>
          <w:color w:val="000000"/>
          <w:sz w:val="32"/>
          <w:szCs w:val="32"/>
        </w:rPr>
        <w:t>年</w:t>
      </w:r>
      <w:r>
        <w:rPr>
          <w:rFonts w:ascii="华文仿宋" w:hAnsi="华文仿宋" w:eastAsia="华文仿宋" w:cs="华文仿宋"/>
          <w:sz w:val="32"/>
          <w:szCs w:val="32"/>
        </w:rPr>
        <w:t>公共运行维护资金项目</w:t>
      </w:r>
      <w:r>
        <w:rPr>
          <w:rFonts w:hint="eastAsia" w:ascii="仿宋_GB2312" w:hAnsi="仿宋_GB2312" w:eastAsia="仿宋_GB2312" w:cs="仿宋_GB2312"/>
          <w:sz w:val="32"/>
          <w:szCs w:val="32"/>
        </w:rPr>
        <w:t>经费中，没有超支。较好的完成实施任务，达到良好的效果。</w:t>
      </w:r>
    </w:p>
    <w:p>
      <w:pPr>
        <w:spacing w:line="56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（二）项目效益情况。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2022年度，履行职能职责，绩效明显，有效完成了本年度绩效目标。项目所有开支均按照我单位财务管理制度执行，资金的使用严格把关，整个项目的运行完全按照有关规定执行。</w:t>
      </w:r>
    </w:p>
    <w:p>
      <w:pPr>
        <w:spacing w:line="56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五、评价结论及建议</w:t>
      </w:r>
    </w:p>
    <w:p>
      <w:pPr>
        <w:spacing w:line="560" w:lineRule="exact"/>
        <w:ind w:firstLine="640" w:firstLineChars="200"/>
        <w:rPr>
          <w:rFonts w:ascii="楷体_GB2312" w:hAnsi="仿宋_GB2312" w:eastAsia="楷体_GB2312" w:cs="仿宋_GB2312"/>
          <w:sz w:val="32"/>
          <w:szCs w:val="32"/>
        </w:rPr>
      </w:pPr>
      <w:r>
        <w:rPr>
          <w:rFonts w:hint="eastAsia" w:ascii="楷体_GB2312" w:hAnsi="仿宋_GB2312" w:eastAsia="楷体_GB2312" w:cs="仿宋_GB2312"/>
          <w:sz w:val="32"/>
          <w:szCs w:val="32"/>
        </w:rPr>
        <w:t>（一）评价结论。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2022年</w:t>
      </w:r>
      <w:r>
        <w:rPr>
          <w:rFonts w:hint="eastAsia" w:ascii="仿宋_GB2312" w:hAnsi="仿宋_GB2312" w:eastAsia="仿宋_GB2312" w:cs="仿宋_GB2312"/>
          <w:sz w:val="32"/>
          <w:szCs w:val="32"/>
        </w:rPr>
        <w:t>公共运行维护资金项目预算执行情况较好，相关管理制度得到有效执行。2022年度所有支出符合国家财经法规和财务管理制度规定以及有关专项资金管理办法的规定，资金拨付有完整的审批程序和手续，项目支出按规定经过评估论证，支出符合单位预算批复的用途，资金使用无截留、挤占、挪用、虚列支出等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2022年圆满完成了年初设定的各项工作目标和任务，各项工作都得到社会大众的肯定和好评，在年度绩效考核中成绩优异。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（二）存在的问题。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1.预算编制工作有待细化。预算编制不够明确和细化，预算编制的合理性需要提高，预算执行力度还要进一步加强。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2.公用经费控制有一定难度，多为刚性支出。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（三）相关建议。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1.合理编制资金预算。按政策规定及新阶科的发展规划，结合上一年度预算执行情况和本年度预算收支变化因素，科学、合理地编制本年预算草案，避免出现预算调整率偏高及漏编项目的情况。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2.加强财务管理工作。健全财务管理制度体系，规范财务行为。在费用报账支付时，按照预算规定的费用项目和用途进行资金使用审核、列报支付、财务核算，杜绝超支现象的发生。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3.执行专款专用制度。针对项目支出，要有效发挥财政专项资金的导向和激励作用，避免出现专项支出与基本支出混淆、专项资金调剂使用的现象。</w:t>
      </w:r>
    </w:p>
    <w:p>
      <w:pPr>
        <w:spacing w:line="560" w:lineRule="exact"/>
        <w:ind w:firstLine="640" w:firstLineChars="200"/>
        <w:rPr>
          <w:rFonts w:ascii="黑体" w:hAnsi="宋体" w:eastAsia="黑体" w:cs="Times New Roman"/>
          <w:color w:val="000000"/>
          <w:sz w:val="44"/>
          <w:szCs w:val="44"/>
        </w:rPr>
      </w:pPr>
      <w:r>
        <w:rPr>
          <w:rFonts w:hint="eastAsia" w:ascii="仿宋_GB2312" w:hAnsi="仿宋_GB2312" w:eastAsia="仿宋_GB2312" w:cs="仿宋_GB2312"/>
          <w:sz w:val="32"/>
          <w:szCs w:val="32"/>
        </w:rPr>
        <w:t>4.督促推进项目进度。根据年初制定的项目计划，在项目推进过程中监控项目进度，确保各项目按计划如期完成。</w:t>
      </w:r>
    </w:p>
    <w:p>
      <w:pPr>
        <w:pStyle w:val="16"/>
        <w:rPr>
          <w:rFonts w:ascii="黑体" w:hAnsi="宋体" w:eastAsia="黑体" w:cs="Times New Roman"/>
          <w:color w:val="000000"/>
          <w:kern w:val="2"/>
          <w:sz w:val="44"/>
          <w:szCs w:val="44"/>
        </w:rPr>
      </w:pPr>
    </w:p>
    <w:p>
      <w:pPr>
        <w:pStyle w:val="16"/>
        <w:rPr>
          <w:rFonts w:ascii="黑体" w:hAnsi="宋体" w:eastAsia="黑体" w:cs="Times New Roman"/>
          <w:color w:val="000000"/>
          <w:kern w:val="2"/>
          <w:sz w:val="44"/>
          <w:szCs w:val="44"/>
        </w:rPr>
      </w:pPr>
    </w:p>
    <w:p>
      <w:pPr>
        <w:pStyle w:val="16"/>
        <w:rPr>
          <w:rFonts w:ascii="黑体" w:hAnsi="宋体" w:eastAsia="黑体" w:cs="Times New Roman"/>
          <w:color w:val="000000"/>
          <w:kern w:val="2"/>
          <w:sz w:val="44"/>
          <w:szCs w:val="44"/>
        </w:rPr>
      </w:pPr>
    </w:p>
    <w:p>
      <w:pPr>
        <w:pStyle w:val="16"/>
        <w:rPr>
          <w:rFonts w:ascii="黑体" w:hAnsi="宋体" w:eastAsia="黑体" w:cs="Times New Roman"/>
          <w:color w:val="000000"/>
          <w:kern w:val="2"/>
          <w:sz w:val="44"/>
          <w:szCs w:val="44"/>
        </w:rPr>
      </w:pPr>
    </w:p>
    <w:p>
      <w:pPr>
        <w:pStyle w:val="16"/>
        <w:rPr>
          <w:rFonts w:ascii="黑体" w:hAnsi="宋体" w:eastAsia="黑体" w:cs="Times New Roman"/>
          <w:color w:val="000000"/>
          <w:kern w:val="2"/>
          <w:sz w:val="44"/>
          <w:szCs w:val="44"/>
        </w:rPr>
        <w:sectPr>
          <w:footerReference r:id="rId6" w:type="default"/>
          <w:pgSz w:w="11906" w:h="16838"/>
          <w:pgMar w:top="1440" w:right="1973" w:bottom="1497" w:left="1800" w:header="851" w:footer="992" w:gutter="0"/>
          <w:cols w:space="425" w:num="1"/>
          <w:docGrid w:type="lines" w:linePitch="312" w:charSpace="0"/>
        </w:sectPr>
      </w:pPr>
    </w:p>
    <w:p>
      <w:pPr>
        <w:pStyle w:val="16"/>
        <w:rPr>
          <w:rFonts w:ascii="黑体" w:hAnsi="宋体" w:eastAsia="黑体" w:cs="Times New Roman"/>
          <w:color w:val="000000"/>
          <w:kern w:val="2"/>
          <w:sz w:val="44"/>
          <w:szCs w:val="44"/>
        </w:rPr>
      </w:pPr>
    </w:p>
    <w:tbl>
      <w:tblPr>
        <w:tblStyle w:val="18"/>
        <w:tblW w:w="13902" w:type="dxa"/>
        <w:tblInd w:w="96" w:type="dxa"/>
        <w:tblLayout w:type="fixed"/>
        <w:tblCellMar>
          <w:top w:w="0" w:type="dxa"/>
          <w:left w:w="108" w:type="dxa"/>
          <w:bottom w:w="0" w:type="dxa"/>
          <w:right w:w="108" w:type="dxa"/>
        </w:tblCellMar>
      </w:tblPr>
      <w:tblGrid>
        <w:gridCol w:w="1264"/>
        <w:gridCol w:w="2453"/>
        <w:gridCol w:w="1935"/>
        <w:gridCol w:w="1125"/>
        <w:gridCol w:w="2340"/>
        <w:gridCol w:w="2445"/>
        <w:gridCol w:w="2340"/>
      </w:tblGrid>
      <w:tr>
        <w:tblPrEx>
          <w:tblCellMar>
            <w:top w:w="0" w:type="dxa"/>
            <w:left w:w="108" w:type="dxa"/>
            <w:bottom w:w="0" w:type="dxa"/>
            <w:right w:w="108" w:type="dxa"/>
          </w:tblCellMar>
        </w:tblPrEx>
        <w:trPr>
          <w:trHeight w:val="455" w:hRule="atLeast"/>
        </w:trPr>
        <w:tc>
          <w:tcPr>
            <w:tcW w:w="13902" w:type="dxa"/>
            <w:gridSpan w:val="7"/>
            <w:tcBorders>
              <w:top w:val="nil"/>
              <w:left w:val="nil"/>
              <w:bottom w:val="nil"/>
              <w:right w:val="nil"/>
            </w:tcBorders>
            <w:shd w:val="clear" w:color="auto" w:fill="auto"/>
            <w:vAlign w:val="center"/>
          </w:tcPr>
          <w:p>
            <w:pPr>
              <w:widowControl/>
              <w:jc w:val="center"/>
              <w:textAlignment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kern w:val="0"/>
                <w:szCs w:val="21"/>
              </w:rPr>
              <w:t>2022年部门预算项目绩效目标自评</w:t>
            </w:r>
          </w:p>
        </w:tc>
      </w:tr>
      <w:tr>
        <w:tblPrEx>
          <w:tblCellMar>
            <w:top w:w="0" w:type="dxa"/>
            <w:left w:w="108" w:type="dxa"/>
            <w:bottom w:w="0" w:type="dxa"/>
            <w:right w:w="108" w:type="dxa"/>
          </w:tblCellMar>
        </w:tblPrEx>
        <w:trPr>
          <w:trHeight w:val="312" w:hRule="atLeast"/>
        </w:trPr>
        <w:tc>
          <w:tcPr>
            <w:tcW w:w="371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主管部门及代码</w:t>
            </w:r>
          </w:p>
        </w:tc>
        <w:tc>
          <w:tcPr>
            <w:tcW w:w="30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787701</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实施单位</w:t>
            </w:r>
          </w:p>
        </w:tc>
        <w:tc>
          <w:tcPr>
            <w:tcW w:w="4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虎跳镇人民政府</w:t>
            </w:r>
          </w:p>
        </w:tc>
      </w:tr>
      <w:tr>
        <w:tblPrEx>
          <w:tblCellMar>
            <w:top w:w="0" w:type="dxa"/>
            <w:left w:w="108" w:type="dxa"/>
            <w:bottom w:w="0" w:type="dxa"/>
            <w:right w:w="108" w:type="dxa"/>
          </w:tblCellMar>
        </w:tblPrEx>
        <w:trPr>
          <w:trHeight w:val="312" w:hRule="atLeast"/>
        </w:trPr>
        <w:tc>
          <w:tcPr>
            <w:tcW w:w="3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30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312" w:hRule="atLeast"/>
        </w:trPr>
        <w:tc>
          <w:tcPr>
            <w:tcW w:w="371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30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35" w:hRule="atLeast"/>
        </w:trPr>
        <w:tc>
          <w:tcPr>
            <w:tcW w:w="3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项目预算</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预算数：</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执行数：</w:t>
            </w:r>
          </w:p>
        </w:tc>
        <w:tc>
          <w:tcPr>
            <w:tcW w:w="4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101</w:t>
            </w:r>
          </w:p>
        </w:tc>
      </w:tr>
      <w:tr>
        <w:tblPrEx>
          <w:tblCellMar>
            <w:top w:w="0" w:type="dxa"/>
            <w:left w:w="108" w:type="dxa"/>
            <w:bottom w:w="0" w:type="dxa"/>
            <w:right w:w="108" w:type="dxa"/>
          </w:tblCellMar>
        </w:tblPrEx>
        <w:trPr>
          <w:trHeight w:val="235" w:hRule="atLeast"/>
        </w:trPr>
        <w:tc>
          <w:tcPr>
            <w:tcW w:w="3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执行情况</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其中：</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101</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其中：</w:t>
            </w:r>
          </w:p>
        </w:tc>
        <w:tc>
          <w:tcPr>
            <w:tcW w:w="47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101</w:t>
            </w:r>
          </w:p>
        </w:tc>
      </w:tr>
      <w:tr>
        <w:tblPrEx>
          <w:tblCellMar>
            <w:top w:w="0" w:type="dxa"/>
            <w:left w:w="108" w:type="dxa"/>
            <w:bottom w:w="0" w:type="dxa"/>
            <w:right w:w="108" w:type="dxa"/>
          </w:tblCellMar>
        </w:tblPrEx>
        <w:trPr>
          <w:trHeight w:val="235" w:hRule="atLeast"/>
        </w:trPr>
        <w:tc>
          <w:tcPr>
            <w:tcW w:w="37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（万元）</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财政拨款</w:t>
            </w: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财政拨款</w:t>
            </w:r>
          </w:p>
        </w:tc>
        <w:tc>
          <w:tcPr>
            <w:tcW w:w="47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235" w:hRule="atLeast"/>
        </w:trPr>
        <w:tc>
          <w:tcPr>
            <w:tcW w:w="37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18"/>
                <w:szCs w:val="18"/>
              </w:rPr>
            </w:pP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其他资金</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其他资金</w:t>
            </w:r>
          </w:p>
        </w:tc>
        <w:tc>
          <w:tcPr>
            <w:tcW w:w="47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年度目标完成情况</w:t>
            </w:r>
          </w:p>
        </w:tc>
        <w:tc>
          <w:tcPr>
            <w:tcW w:w="55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预期目标</w:t>
            </w:r>
          </w:p>
        </w:tc>
        <w:tc>
          <w:tcPr>
            <w:tcW w:w="7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实际完成目标</w:t>
            </w:r>
          </w:p>
        </w:tc>
      </w:tr>
      <w:tr>
        <w:tblPrEx>
          <w:tblCellMar>
            <w:top w:w="0" w:type="dxa"/>
            <w:left w:w="108" w:type="dxa"/>
            <w:bottom w:w="0" w:type="dxa"/>
            <w:right w:w="108" w:type="dxa"/>
          </w:tblCellMar>
        </w:tblPrEx>
        <w:trPr>
          <w:trHeight w:val="1372"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55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2021年12月底前全面完成12个村3个社区组织活动场所维护，“八有”设施配备齐全，涉及12个村3个社区、覆盖78个村民小组、群众2.0万余人。完成12村3社区环境卫生整治等。</w:t>
            </w:r>
          </w:p>
        </w:tc>
        <w:tc>
          <w:tcPr>
            <w:tcW w:w="7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2021年12月底前全面完成12个村1社区组织活动场所维护，“八有”设施配备齐全，涉及12个村、3个社区，覆盖78个村民小组、群众2.0万余人。完成12村3社区环境卫生整治等。</w:t>
            </w:r>
          </w:p>
        </w:tc>
      </w:tr>
      <w:tr>
        <w:tblPrEx>
          <w:tblCellMar>
            <w:top w:w="0" w:type="dxa"/>
            <w:left w:w="108" w:type="dxa"/>
            <w:bottom w:w="0" w:type="dxa"/>
            <w:right w:w="108" w:type="dxa"/>
          </w:tblCellMar>
        </w:tblPrEx>
        <w:trPr>
          <w:trHeight w:val="235"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绩效指标完成情况</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一级指标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二级指标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三级指标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预期指标值(包含数字及文字描述)</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实际完成指标值(包含数字及文字描述)</w:t>
            </w:r>
          </w:p>
        </w:tc>
      </w:tr>
      <w:tr>
        <w:tblPrEx>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项目完成指标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数量指标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村组织活动场所维护个数</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15个</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15个</w:t>
            </w:r>
          </w:p>
        </w:tc>
      </w:tr>
      <w:tr>
        <w:tblPrEx>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项目完成指标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数量指标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村组织活动开展次数</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55次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55次</w:t>
            </w:r>
          </w:p>
        </w:tc>
      </w:tr>
      <w:tr>
        <w:tblPrEx>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项目完成指标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数量指标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垃圾清运次数</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1320次</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1320次</w:t>
            </w:r>
          </w:p>
        </w:tc>
      </w:tr>
      <w:tr>
        <w:tblPrEx>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项目完成指标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质量指标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村容村貌、基础设施配备率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w:t>
            </w:r>
          </w:p>
        </w:tc>
      </w:tr>
      <w:tr>
        <w:tblPrEx>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项目完成指标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质量指标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资金使用合理合规率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w:t>
            </w:r>
          </w:p>
        </w:tc>
      </w:tr>
      <w:tr>
        <w:tblPrEx>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项目完成指标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质量指标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绩效评价得分</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≥95分</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≥95分</w:t>
            </w:r>
          </w:p>
        </w:tc>
      </w:tr>
      <w:tr>
        <w:tblPrEx>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项目完成指标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时效指标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完成及时率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100%</w:t>
            </w:r>
          </w:p>
        </w:tc>
      </w:tr>
      <w:tr>
        <w:tblPrEx>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项目完成指标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成本指标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每个村活动场所维护资金概算</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101万元</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101万元</w:t>
            </w:r>
          </w:p>
        </w:tc>
      </w:tr>
      <w:tr>
        <w:tblPrEx>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项目完成指标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成本指标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其他（文化活动）</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0万元</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0万元</w:t>
            </w:r>
          </w:p>
        </w:tc>
      </w:tr>
      <w:tr>
        <w:tblPrEx>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绩效指标完成情况</w:t>
            </w: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效益指标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社会效益指标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覆盖村小组数</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78个</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78个</w:t>
            </w:r>
          </w:p>
        </w:tc>
      </w:tr>
      <w:tr>
        <w:tblPrEx>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效益指标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社会效益指标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覆盖党员数</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908人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908人</w:t>
            </w:r>
          </w:p>
        </w:tc>
      </w:tr>
      <w:tr>
        <w:tblPrEx>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效益指标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社会效益指标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覆盖村民数</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20450人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20450人</w:t>
            </w:r>
          </w:p>
        </w:tc>
      </w:tr>
      <w:tr>
        <w:tblPrEx>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效益指标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社会效益指标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覆盖建档立卡贫困人数</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≥2684人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≥2684人</w:t>
            </w:r>
          </w:p>
        </w:tc>
      </w:tr>
      <w:tr>
        <w:tblPrEx>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效益指标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社会效益指标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党组织的战斗堡垒作用</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明显发挥</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明显发挥</w:t>
            </w:r>
          </w:p>
        </w:tc>
      </w:tr>
      <w:tr>
        <w:tblPrEx>
          <w:tblCellMar>
            <w:top w:w="0" w:type="dxa"/>
            <w:left w:w="108" w:type="dxa"/>
            <w:bottom w:w="0" w:type="dxa"/>
            <w:right w:w="108" w:type="dxa"/>
          </w:tblCellMar>
        </w:tblPrEx>
        <w:trPr>
          <w:trHeight w:val="463"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效益指标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可持续影响指标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项目使用年限标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≥5年</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≥5年</w:t>
            </w:r>
          </w:p>
        </w:tc>
      </w:tr>
      <w:tr>
        <w:tblPrEx>
          <w:tblCellMar>
            <w:top w:w="0" w:type="dxa"/>
            <w:left w:w="108" w:type="dxa"/>
            <w:bottom w:w="0" w:type="dxa"/>
            <w:right w:w="108" w:type="dxa"/>
          </w:tblCellMar>
        </w:tblPrEx>
        <w:trPr>
          <w:trHeight w:val="475"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服务对象满意度指标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满意度指标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群众满意度</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≥95%</w:t>
            </w:r>
          </w:p>
        </w:tc>
      </w:tr>
      <w:tr>
        <w:tblPrEx>
          <w:tblCellMar>
            <w:top w:w="0" w:type="dxa"/>
            <w:left w:w="108" w:type="dxa"/>
            <w:bottom w:w="0" w:type="dxa"/>
            <w:right w:w="108" w:type="dxa"/>
          </w:tblCellMar>
        </w:tblPrEx>
        <w:trPr>
          <w:trHeight w:val="515"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服务对象满意度指标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满意度指标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党员满意度</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≥95%</w:t>
            </w:r>
          </w:p>
        </w:tc>
      </w:tr>
      <w:tr>
        <w:tblPrEx>
          <w:tblCellMar>
            <w:top w:w="0" w:type="dxa"/>
            <w:left w:w="108" w:type="dxa"/>
            <w:bottom w:w="0" w:type="dxa"/>
            <w:right w:w="108" w:type="dxa"/>
          </w:tblCellMar>
        </w:tblPrEx>
        <w:trPr>
          <w:trHeight w:val="532" w:hRule="atLeast"/>
        </w:trPr>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服务对象满意度指标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满意度指标</w:t>
            </w:r>
          </w:p>
        </w:tc>
        <w:tc>
          <w:tcPr>
            <w:tcW w:w="34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受益贫困人口满意度</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≥95%</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≥95%</w:t>
            </w:r>
          </w:p>
        </w:tc>
      </w:tr>
    </w:tbl>
    <w:p>
      <w:pPr>
        <w:pStyle w:val="5"/>
        <w:widowControl/>
        <w:spacing w:line="600" w:lineRule="exact"/>
        <w:rPr>
          <w:rStyle w:val="24"/>
          <w:rFonts w:ascii="仿宋" w:hAnsi="仿宋" w:eastAsia="仿宋" w:cs="仿宋"/>
          <w:b/>
          <w:bCs/>
          <w:sz w:val="32"/>
          <w:szCs w:val="32"/>
        </w:rPr>
        <w:sectPr>
          <w:footerReference r:id="rId7" w:type="default"/>
          <w:pgSz w:w="16838" w:h="11906" w:orient="landscape"/>
          <w:pgMar w:top="1800" w:right="1440" w:bottom="1973" w:left="1497" w:header="851" w:footer="992" w:gutter="0"/>
          <w:cols w:space="425" w:num="1"/>
          <w:docGrid w:type="lines" w:linePitch="312" w:charSpace="0"/>
        </w:sectPr>
      </w:pPr>
    </w:p>
    <w:p>
      <w:pPr>
        <w:spacing w:line="576" w:lineRule="exact"/>
        <w:jc w:val="left"/>
        <w:rPr>
          <w:rFonts w:ascii="黑体" w:hAnsi="黑体" w:eastAsia="黑体" w:cs="黑体"/>
          <w:bCs/>
          <w:color w:val="000000"/>
          <w:sz w:val="28"/>
          <w:szCs w:val="28"/>
        </w:rPr>
      </w:pPr>
      <w:r>
        <w:rPr>
          <w:rFonts w:hint="eastAsia" w:ascii="黑体" w:hAnsi="黑体" w:eastAsia="黑体" w:cs="黑体"/>
          <w:bCs/>
          <w:color w:val="000000"/>
          <w:sz w:val="28"/>
          <w:szCs w:val="28"/>
        </w:rPr>
        <w:t>附件2-2</w:t>
      </w:r>
    </w:p>
    <w:p>
      <w:pPr>
        <w:spacing w:line="576" w:lineRule="exact"/>
        <w:jc w:val="center"/>
        <w:rPr>
          <w:rFonts w:ascii="方正小标宋简体" w:hAnsi="方正小标宋简体" w:eastAsia="方正小标宋简体" w:cs="方正小标宋简体"/>
          <w:bCs/>
          <w:color w:val="000000"/>
          <w:sz w:val="44"/>
          <w:szCs w:val="44"/>
        </w:rPr>
      </w:pPr>
    </w:p>
    <w:p>
      <w:pPr>
        <w:spacing w:line="576"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广元市昭化区虎跳镇人民政府</w:t>
      </w:r>
    </w:p>
    <w:p>
      <w:pPr>
        <w:spacing w:line="576"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丁家社区文化广场建设项目</w:t>
      </w:r>
    </w:p>
    <w:p>
      <w:pPr>
        <w:spacing w:line="576" w:lineRule="exact"/>
        <w:jc w:val="center"/>
        <w:rPr>
          <w:rFonts w:ascii="仿宋_GB2312" w:hAnsi="仿宋_GB2312" w:eastAsia="方正小标宋简体" w:cs="仿宋_GB2312"/>
          <w:bCs/>
          <w:color w:val="000000"/>
          <w:sz w:val="44"/>
          <w:szCs w:val="44"/>
        </w:rPr>
      </w:pPr>
      <w:r>
        <w:rPr>
          <w:rFonts w:hint="eastAsia" w:ascii="方正小标宋简体" w:hAnsi="方正小标宋简体" w:eastAsia="方正小标宋简体" w:cs="方正小标宋简体"/>
          <w:bCs/>
          <w:color w:val="000000"/>
          <w:sz w:val="44"/>
          <w:szCs w:val="44"/>
        </w:rPr>
        <w:t>支出绩效自评报告</w:t>
      </w:r>
    </w:p>
    <w:p>
      <w:pPr>
        <w:spacing w:line="576" w:lineRule="exact"/>
        <w:jc w:val="left"/>
        <w:rPr>
          <w:rFonts w:ascii="宋体" w:hAnsi="宋体" w:eastAsia="宋体"/>
          <w:color w:val="000000"/>
          <w:sz w:val="30"/>
        </w:rPr>
      </w:pPr>
    </w:p>
    <w:p>
      <w:pPr>
        <w:spacing w:line="576"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一、项目概况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1、项目名称：广元市昭化区虎跳镇丁家社区文化广场建设</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2、项目建设地址：广元市昭化区虎跳镇丁家社区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3、项目业主：广元市昭化区虎跳镇丁家社区居民委员会</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4、项目总投资及资金来源：项目总投资18.3万元，资金来源为昭化区2022年度镇级民生实事项目资金18万元，自筹0.3万元。</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5、建设工期：1个月</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6、建设工期：村民自建</w:t>
      </w:r>
    </w:p>
    <w:p>
      <w:pPr>
        <w:spacing w:line="576" w:lineRule="exact"/>
        <w:ind w:firstLine="643" w:firstLineChars="200"/>
        <w:jc w:val="left"/>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（一）项目资金申报及批复情况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于2022年4月19日经虎跳镇第二届人民代表大会第二次会议全体代表对2022年度民生实事候选项目采取无记名投票方式产生，编制并上报《虎跳镇丁家社区文化广场建设项目实施方案》（虎府函[2022]68号），2022年8月15日由广元市昭化区发展和改革局批复（昭发改审批[2022]269号），该项目不涉及预算调整，符合资金管理办法等相关规定。</w:t>
      </w:r>
    </w:p>
    <w:p>
      <w:pPr>
        <w:spacing w:line="576" w:lineRule="exact"/>
        <w:ind w:firstLine="643" w:firstLineChars="200"/>
        <w:jc w:val="left"/>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（二）项目绩效目标</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主要建设内容及规模：新建广场700㎡（35m</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20m）、社区街道绿化40m³（100m</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2m</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0.2m）、社区绿化树木更换60棵（直径10公分以上），2022年11月10日竣工，并交付使用。</w:t>
      </w:r>
    </w:p>
    <w:p>
      <w:pPr>
        <w:spacing w:line="576" w:lineRule="exact"/>
        <w:ind w:firstLine="643" w:firstLineChars="200"/>
        <w:jc w:val="left"/>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（三）项目资金申报相符性</w:t>
      </w:r>
    </w:p>
    <w:p>
      <w:pPr>
        <w:spacing w:line="576"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具体实施的相关项目和村民大会审定及向上申报的项目一致，项目都如实实施，可靠合理，不存在任何的违规行为。</w:t>
      </w:r>
    </w:p>
    <w:p>
      <w:pPr>
        <w:spacing w:line="576" w:lineRule="exact"/>
        <w:ind w:firstLine="643" w:firstLineChars="200"/>
        <w:jc w:val="left"/>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（四）自评步骤及方法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丁家社区文化广场建设在本着因地制宜、实事求是的原则，在镇党委、政府的正确领导下，充分丁家社区实际，尤其在建制调整后，原行政中心撤并，社区居民精神文化建设阵地缺失、原丁家场镇基础设施无专项资金进行维护，为此丁家社区、虎跳镇党委、政府进行科学谋划、合理布局、合理建议，把有限的资金放到急需办的事情上，项目建成后，通过群众走访、村民代表、村组干部实地查看进行了较为科学的评判，项目的建设极大的改善了丁家社区基础民生设施条件，增加凝聚力，有利于文化活动的开展，极大的丰富和满足了人民群众精神何文化的需求。</w:t>
      </w:r>
    </w:p>
    <w:p>
      <w:pPr>
        <w:spacing w:line="576"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二、项目实施及管理情况</w:t>
      </w:r>
    </w:p>
    <w:p>
      <w:pPr>
        <w:spacing w:line="576"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（一）资金计划、到位及使用情况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1.项目计划财政补助资金18万元，截止目前已到位资金14.4万元，拨付率80%。</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2.项目资金使用：按照项目建设任务，分别予以了人工工资的全额支付以及工程款全额支付。</w:t>
      </w:r>
    </w:p>
    <w:p>
      <w:pPr>
        <w:spacing w:line="576"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（二）项目财务管理</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此项目按照村民自建模式，成立了项目建设理财小组，专款专用，建立台账，做到查有依据。</w:t>
      </w:r>
    </w:p>
    <w:p>
      <w:pPr>
        <w:spacing w:line="576"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（三）项目组织实施及管理情况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建设成立了项目建设理事会、质量监督小组、项目理财小组，做到分工明确，组织有序。召开村民会议，采用三方询价，确立了项目实施各组成人员，并公开公示无异议后进行项目建设。项目建设工程中，质量监督小组全程监控项目建设质量，项目已于2022年11月竣工，群众满意。</w:t>
      </w:r>
    </w:p>
    <w:p>
      <w:pPr>
        <w:spacing w:line="576"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三、项目绩效情况</w:t>
      </w:r>
    </w:p>
    <w:p>
      <w:pPr>
        <w:spacing w:line="576"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（一）项目完成情况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项目的实施均按照</w:t>
      </w:r>
      <w:r>
        <w:rPr>
          <w:rFonts w:hint="eastAsia" w:ascii="仿宋_GB2312" w:hAnsi="仿宋_GB2312" w:eastAsia="仿宋_GB2312" w:cs="仿宋_GB2312"/>
          <w:sz w:val="32"/>
          <w:szCs w:val="32"/>
        </w:rPr>
        <w:t>村民大会通过的项目实施方案</w:t>
      </w:r>
      <w:r>
        <w:rPr>
          <w:rFonts w:hint="eastAsia" w:ascii="仿宋_GB2312" w:hAnsi="仿宋_GB2312" w:eastAsia="仿宋_GB2312" w:cs="仿宋_GB2312"/>
          <w:sz w:val="32"/>
          <w:szCs w:val="32"/>
          <w:lang w:val="zh-CN"/>
        </w:rPr>
        <w:t>质量</w:t>
      </w:r>
      <w:r>
        <w:rPr>
          <w:rFonts w:hint="eastAsia" w:ascii="仿宋_GB2312" w:hAnsi="仿宋_GB2312" w:eastAsia="仿宋_GB2312" w:cs="仿宋_GB2312"/>
          <w:sz w:val="32"/>
          <w:szCs w:val="32"/>
        </w:rPr>
        <w:t>要求按时</w:t>
      </w:r>
      <w:r>
        <w:rPr>
          <w:rFonts w:hint="eastAsia" w:ascii="仿宋_GB2312" w:hAnsi="仿宋_GB2312" w:eastAsia="仿宋_GB2312" w:cs="仿宋_GB2312"/>
          <w:sz w:val="32"/>
          <w:szCs w:val="32"/>
          <w:lang w:val="zh-CN"/>
        </w:rPr>
        <w:t>完成。</w:t>
      </w:r>
      <w:r>
        <w:rPr>
          <w:rFonts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page">
                  <wp:posOffset>5867400</wp:posOffset>
                </wp:positionH>
                <wp:positionV relativeFrom="paragraph">
                  <wp:posOffset>7950200</wp:posOffset>
                </wp:positionV>
                <wp:extent cx="1333500" cy="215900"/>
                <wp:effectExtent l="0" t="0" r="0" b="0"/>
                <wp:wrapNone/>
                <wp:docPr id="46" name="文本框 2"/>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pPr>
                              <w:spacing w:line="400" w:lineRule="exact"/>
                              <w:jc w:val="center"/>
                            </w:pPr>
                            <w:r>
                              <w:rPr>
                                <w:rFonts w:hint="eastAsia" w:ascii="Arial" w:hAnsi="Arial" w:eastAsia="Arial"/>
                                <w:color w:val="000000"/>
                                <w:sz w:val="24"/>
                              </w:rPr>
                              <w:t>-19-</w:t>
                            </w:r>
                          </w:p>
                        </w:txbxContent>
                      </wps:txbx>
                      <wps:bodyPr lIns="25400" tIns="0" rIns="25400" bIns="0">
                        <a:noAutofit/>
                      </wps:bodyPr>
                    </wps:wsp>
                  </a:graphicData>
                </a:graphic>
              </wp:anchor>
            </w:drawing>
          </mc:Choice>
          <mc:Fallback>
            <w:pict>
              <v:shape id="文本框 2" o:spid="_x0000_s1026" o:spt="202" type="#_x0000_t202" style="position:absolute;left:0pt;margin-left:462pt;margin-top:626pt;height:17pt;width:105pt;mso-position-horizontal-relative:page;z-index:251661312;mso-width-relative:page;mso-height-relative:page;" filled="f" stroked="f" coordsize="21600,21600" o:gfxdata="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Av0E9kAAAAOAQAA&#10;DwAAAAAAAAABACAAAAAiAAAAZHJzL2Rvd25yZXYueG1sUEsBAhQAFAAAAAgAh07iQKFkhxTfAQAA&#10;rQMAAA4AAAAAAAAAAQAgAAAAKAEAAGRycy9lMm9Eb2MueG1sUEsFBgAAAAAGAAYAWQEAAHkFAAAA&#10;AA==&#10;">
                <v:fill on="f" focussize="0,0"/>
                <v:stroke on="f" weight="0.5pt"/>
                <v:imagedata o:title=""/>
                <o:lock v:ext="edit" aspectratio="f"/>
                <v:textbox inset="2pt,0mm,2pt,0mm">
                  <w:txbxContent>
                    <w:p>
                      <w:pPr>
                        <w:spacing w:line="400" w:lineRule="exact"/>
                        <w:jc w:val="center"/>
                      </w:pPr>
                      <w:r>
                        <w:rPr>
                          <w:rFonts w:hint="eastAsia" w:ascii="Arial" w:hAnsi="Arial" w:eastAsia="Arial"/>
                          <w:color w:val="000000"/>
                          <w:sz w:val="24"/>
                        </w:rPr>
                        <w:t>-19-</w:t>
                      </w:r>
                    </w:p>
                  </w:txbxContent>
                </v:textbox>
              </v:shape>
            </w:pict>
          </mc:Fallback>
        </mc:AlternateContent>
      </w:r>
    </w:p>
    <w:p>
      <w:pPr>
        <w:spacing w:line="576" w:lineRule="exact"/>
        <w:ind w:firstLine="643" w:firstLineChars="200"/>
        <w:rPr>
          <w:rFonts w:ascii="仿宋_GB2312" w:hAnsi="仿宋_GB2312" w:eastAsia="仿宋_GB2312" w:cs="仿宋_GB2312"/>
          <w:color w:val="000000"/>
          <w:sz w:val="32"/>
          <w:szCs w:val="32"/>
        </w:rPr>
      </w:pPr>
      <w:r>
        <w:rPr>
          <w:rFonts w:hint="eastAsia" w:ascii="楷体_GB2312" w:hAnsi="楷体_GB2312" w:eastAsia="楷体_GB2312" w:cs="楷体_GB2312"/>
          <w:b/>
          <w:bCs/>
          <w:color w:val="000000"/>
          <w:sz w:val="32"/>
          <w:szCs w:val="32"/>
        </w:rPr>
        <w:t>（二）项目效益情况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建成后，通过群众走访、村民代表、村组干部实地查看进行了较为科学的评判，项目的建设极大的改善了丁家社区基础民生设施条件，增加凝聚力，有利于文化活动的开展，极大的丰富和满足了人民群众精神何文化的需求。</w:t>
      </w:r>
    </w:p>
    <w:p>
      <w:pPr>
        <w:spacing w:line="576"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四、自评结论及建议</w:t>
      </w:r>
    </w:p>
    <w:p>
      <w:pPr>
        <w:spacing w:line="576"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（一）评价结论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项目建设制定方案报批、项目建设实施工程中，我们很好的完成了项目建设任务。项目各分项值标完成情况良好，自评得分95分。</w:t>
      </w:r>
    </w:p>
    <w:p>
      <w:pPr>
        <w:spacing w:line="576"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（二）存在的问题</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1.项目后期的管理、维护及提级保持，我们还没有现成的经验，还会有一些问题有待解决，如环境卫生管理、日常维护等。</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2.项目后期的利益连接机制也有待于我们去更科学谋划，最大限度的让利与群众，我们不光要建起来，还要用起来、更重要的是要把更丰富的文化活动搞起来。</w:t>
      </w:r>
    </w:p>
    <w:p>
      <w:pPr>
        <w:pStyle w:val="9"/>
        <w:ind w:firstLine="640" w:firstLineChars="200"/>
        <w:rPr>
          <w:rFonts w:ascii="仿宋_GB2312" w:hAnsi="仿宋_GB2312" w:eastAsia="仿宋_GB2312" w:cs="仿宋_GB2312"/>
          <w:color w:val="FF0000"/>
          <w:sz w:val="32"/>
          <w:szCs w:val="32"/>
        </w:rPr>
      </w:pPr>
      <w:r>
        <w:rPr>
          <w:rFonts w:hint="eastAsia" w:ascii="楷体_GB2312" w:hAnsi="楷体_GB2312" w:eastAsia="楷体_GB2312" w:cs="楷体_GB2312"/>
          <w:sz w:val="32"/>
          <w:szCs w:val="32"/>
        </w:rPr>
        <w:t>（三）下一步措施</w:t>
      </w:r>
    </w:p>
    <w:p>
      <w:pPr>
        <w:pStyle w:val="9"/>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1.加强该项目的事后监督，加强项目资金的财务核算管理。</w:t>
      </w:r>
    </w:p>
    <w:p>
      <w:pPr>
        <w:pStyle w:val="9"/>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2.完善项目资产管理制度，创新利益联结机制，强化监测评估和绩效评价结果运用。</w:t>
      </w:r>
    </w:p>
    <w:p>
      <w:pPr>
        <w:pStyle w:val="9"/>
        <w:rPr>
          <w:rFonts w:ascii="仿宋_GB2312" w:hAnsi="仿宋_GB2312" w:eastAsia="仿宋_GB2312" w:cs="仿宋_GB2312"/>
          <w:color w:val="FF0000"/>
          <w:sz w:val="32"/>
          <w:szCs w:val="32"/>
        </w:rPr>
      </w:pPr>
    </w:p>
    <w:p>
      <w:pPr>
        <w:pStyle w:val="9"/>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附件：广元市昭化区虎跳镇丁家社区文化广场建设项目支出绩效自评表</w:t>
      </w:r>
    </w:p>
    <w:p>
      <w:pPr>
        <w:pStyle w:val="9"/>
        <w:ind w:firstLine="640" w:firstLineChars="200"/>
        <w:rPr>
          <w:rFonts w:ascii="仿宋_GB2312" w:hAnsi="仿宋_GB2312" w:eastAsia="仿宋_GB2312" w:cs="仿宋_GB2312"/>
          <w:sz w:val="32"/>
          <w:szCs w:val="32"/>
        </w:rPr>
      </w:pPr>
    </w:p>
    <w:p>
      <w:pPr>
        <w:pStyle w:val="9"/>
        <w:ind w:firstLine="640" w:firstLineChars="200"/>
        <w:jc w:val="right"/>
        <w:rPr>
          <w:rFonts w:ascii="仿宋_GB2312" w:hAnsi="仿宋_GB2312" w:eastAsia="仿宋_GB2312" w:cs="仿宋_GB2312"/>
          <w:sz w:val="32"/>
          <w:szCs w:val="32"/>
        </w:rPr>
      </w:pPr>
    </w:p>
    <w:p>
      <w:pPr>
        <w:pStyle w:val="9"/>
        <w:ind w:firstLine="640" w:firstLineChars="200"/>
        <w:jc w:val="right"/>
        <w:rPr>
          <w:rFonts w:ascii="仿宋_GB2312" w:hAnsi="仿宋_GB2312" w:eastAsia="仿宋_GB2312" w:cs="仿宋_GB2312"/>
          <w:sz w:val="32"/>
          <w:szCs w:val="32"/>
        </w:rPr>
      </w:pPr>
    </w:p>
    <w:p>
      <w:pPr>
        <w:pStyle w:val="9"/>
        <w:rPr>
          <w:rFonts w:ascii="仿宋_GB2312" w:hAnsi="仿宋_GB2312" w:eastAsia="仿宋_GB2312" w:cs="仿宋_GB2312"/>
          <w:sz w:val="32"/>
          <w:szCs w:val="32"/>
        </w:rPr>
      </w:pPr>
    </w:p>
    <w:p>
      <w:pPr>
        <w:spacing w:line="480" w:lineRule="exact"/>
        <w:rPr>
          <w:rFonts w:ascii="黑体" w:hAnsi="黑体" w:eastAsia="黑体" w:cs="黑体"/>
          <w:bCs/>
          <w:color w:val="000000"/>
          <w:sz w:val="32"/>
          <w:szCs w:val="32"/>
        </w:rPr>
      </w:pPr>
      <w:r>
        <w:rPr>
          <w:rFonts w:hint="eastAsia" w:ascii="黑体" w:hAnsi="黑体" w:eastAsia="黑体" w:cs="黑体"/>
          <w:bCs/>
          <w:color w:val="000000"/>
          <w:sz w:val="32"/>
          <w:szCs w:val="32"/>
        </w:rPr>
        <w:t>附件</w:t>
      </w:r>
    </w:p>
    <w:p>
      <w:pPr>
        <w:spacing w:line="480" w:lineRule="exact"/>
        <w:jc w:val="center"/>
      </w:pPr>
      <w:r>
        <w:rPr>
          <w:rFonts w:hint="eastAsia" w:ascii="宋体" w:hAnsi="宋体" w:eastAsia="宋体"/>
          <w:b/>
          <w:color w:val="000000"/>
          <w:sz w:val="34"/>
        </w:rPr>
        <w:t>广元市昭化区财政项目支出绩效自评表</w:t>
      </w:r>
    </w:p>
    <w:p>
      <w:pPr>
        <w:spacing w:after="100" w:line="300" w:lineRule="exact"/>
        <w:jc w:val="center"/>
      </w:pPr>
      <w:r>
        <w:rPr>
          <w:rFonts w:hint="eastAsia" w:ascii="宋体" w:hAnsi="宋体" w:eastAsia="宋体"/>
          <w:color w:val="000000"/>
          <w:sz w:val="22"/>
        </w:rPr>
        <w:t>（2022年度）</w:t>
      </w:r>
    </w:p>
    <w:tbl>
      <w:tblPr>
        <w:tblStyle w:val="18"/>
        <w:tblW w:w="9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825"/>
        <w:gridCol w:w="902"/>
        <w:gridCol w:w="1018"/>
        <w:gridCol w:w="977"/>
        <w:gridCol w:w="1201"/>
        <w:gridCol w:w="1434"/>
        <w:gridCol w:w="1395"/>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jc w:val="center"/>
        </w:trPr>
        <w:tc>
          <w:tcPr>
            <w:tcW w:w="1727" w:type="dxa"/>
            <w:gridSpan w:val="2"/>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项目（政策）名称</w:t>
            </w:r>
          </w:p>
        </w:tc>
        <w:tc>
          <w:tcPr>
            <w:tcW w:w="8083" w:type="dxa"/>
            <w:gridSpan w:val="6"/>
            <w:vAlign w:val="center"/>
          </w:tcPr>
          <w:p>
            <w:pPr>
              <w:jc w:val="center"/>
              <w:rPr>
                <w:rFonts w:ascii="宋体" w:hAnsi="宋体" w:eastAsia="宋体" w:cs="宋体"/>
                <w:sz w:val="18"/>
                <w:szCs w:val="18"/>
              </w:rPr>
            </w:pPr>
            <w:r>
              <w:rPr>
                <w:rFonts w:hint="eastAsia" w:ascii="宋体" w:hAnsi="宋体" w:eastAsia="宋体" w:cs="宋体"/>
                <w:sz w:val="18"/>
                <w:szCs w:val="18"/>
              </w:rPr>
              <w:t>广元市昭化区虎跳镇丁家社区文化广场建设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jc w:val="center"/>
        </w:trPr>
        <w:tc>
          <w:tcPr>
            <w:tcW w:w="1727" w:type="dxa"/>
            <w:gridSpan w:val="2"/>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主管部门</w:t>
            </w:r>
          </w:p>
        </w:tc>
        <w:tc>
          <w:tcPr>
            <w:tcW w:w="4630" w:type="dxa"/>
            <w:gridSpan w:val="4"/>
            <w:vAlign w:val="center"/>
          </w:tcPr>
          <w:p>
            <w:pPr>
              <w:jc w:val="center"/>
              <w:rPr>
                <w:rFonts w:ascii="宋体" w:hAnsi="宋体" w:eastAsia="宋体" w:cs="宋体"/>
                <w:sz w:val="18"/>
                <w:szCs w:val="18"/>
              </w:rPr>
            </w:pPr>
            <w:r>
              <w:rPr>
                <w:rFonts w:hint="eastAsia" w:ascii="宋体" w:hAnsi="宋体" w:eastAsia="宋体" w:cs="宋体"/>
                <w:sz w:val="18"/>
                <w:szCs w:val="18"/>
              </w:rPr>
              <w:t>昭化区虎跳镇人民政府</w:t>
            </w:r>
          </w:p>
        </w:tc>
        <w:tc>
          <w:tcPr>
            <w:tcW w:w="1395" w:type="dxa"/>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实施单位</w:t>
            </w:r>
          </w:p>
        </w:tc>
        <w:tc>
          <w:tcPr>
            <w:tcW w:w="2058" w:type="dxa"/>
            <w:vAlign w:val="center"/>
          </w:tcPr>
          <w:p>
            <w:pPr>
              <w:jc w:val="center"/>
              <w:rPr>
                <w:rFonts w:ascii="宋体" w:hAnsi="宋体" w:eastAsia="宋体" w:cs="宋体"/>
                <w:sz w:val="18"/>
                <w:szCs w:val="18"/>
              </w:rPr>
            </w:pPr>
            <w:r>
              <w:rPr>
                <w:rFonts w:hint="eastAsia" w:ascii="宋体" w:hAnsi="宋体" w:eastAsia="宋体" w:cs="宋体"/>
                <w:sz w:val="18"/>
                <w:szCs w:val="18"/>
              </w:rPr>
              <w:t>昭化区虎跳镇人民政府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jc w:val="center"/>
        </w:trPr>
        <w:tc>
          <w:tcPr>
            <w:tcW w:w="1727" w:type="dxa"/>
            <w:gridSpan w:val="2"/>
            <w:vMerge w:val="restart"/>
          </w:tcPr>
          <w:p>
            <w:pPr>
              <w:spacing w:before="1090" w:line="262" w:lineRule="exact"/>
              <w:ind w:left="60"/>
              <w:jc w:val="left"/>
              <w:rPr>
                <w:rFonts w:ascii="宋体" w:hAnsi="宋体" w:eastAsia="宋体" w:cs="宋体"/>
                <w:sz w:val="18"/>
                <w:szCs w:val="18"/>
              </w:rPr>
            </w:pPr>
            <w:r>
              <w:rPr>
                <w:rFonts w:hint="eastAsia" w:ascii="宋体" w:hAnsi="宋体" w:eastAsia="宋体" w:cs="宋体"/>
                <w:color w:val="000000"/>
                <w:sz w:val="18"/>
                <w:szCs w:val="18"/>
              </w:rPr>
              <w:t>项目（政策）资金</w:t>
            </w:r>
          </w:p>
          <w:p>
            <w:pPr>
              <w:spacing w:line="237" w:lineRule="exact"/>
              <w:jc w:val="center"/>
              <w:rPr>
                <w:rFonts w:ascii="宋体" w:hAnsi="宋体" w:eastAsia="宋体" w:cs="宋体"/>
                <w:sz w:val="18"/>
                <w:szCs w:val="18"/>
              </w:rPr>
            </w:pPr>
            <w:r>
              <w:rPr>
                <w:rFonts w:hint="eastAsia" w:ascii="宋体" w:hAnsi="宋体" w:eastAsia="宋体" w:cs="宋体"/>
                <w:color w:val="000000"/>
                <w:sz w:val="18"/>
                <w:szCs w:val="18"/>
              </w:rPr>
              <w:t>（万元）</w:t>
            </w:r>
          </w:p>
        </w:tc>
        <w:tc>
          <w:tcPr>
            <w:tcW w:w="1995" w:type="dxa"/>
            <w:gridSpan w:val="2"/>
            <w:vAlign w:val="center"/>
          </w:tcPr>
          <w:p>
            <w:pPr>
              <w:rPr>
                <w:rFonts w:ascii="宋体" w:hAnsi="宋体" w:eastAsia="宋体" w:cs="宋体"/>
                <w:sz w:val="18"/>
                <w:szCs w:val="18"/>
              </w:rPr>
            </w:pPr>
          </w:p>
        </w:tc>
        <w:tc>
          <w:tcPr>
            <w:tcW w:w="1201" w:type="dxa"/>
            <w:vAlign w:val="center"/>
          </w:tcPr>
          <w:p>
            <w:pPr>
              <w:spacing w:line="180" w:lineRule="exact"/>
              <w:jc w:val="center"/>
              <w:rPr>
                <w:rFonts w:ascii="宋体" w:hAnsi="宋体" w:eastAsia="宋体" w:cs="宋体"/>
                <w:sz w:val="18"/>
                <w:szCs w:val="18"/>
              </w:rPr>
            </w:pPr>
            <w:r>
              <w:rPr>
                <w:rFonts w:hint="eastAsia" w:ascii="宋体" w:hAnsi="宋体" w:eastAsia="宋体" w:cs="宋体"/>
                <w:color w:val="000000"/>
                <w:sz w:val="18"/>
                <w:szCs w:val="18"/>
              </w:rPr>
              <w:t>年初预算数</w:t>
            </w:r>
          </w:p>
        </w:tc>
        <w:tc>
          <w:tcPr>
            <w:tcW w:w="1434" w:type="dxa"/>
            <w:vAlign w:val="center"/>
          </w:tcPr>
          <w:p>
            <w:pPr>
              <w:spacing w:line="180" w:lineRule="exact"/>
              <w:jc w:val="center"/>
              <w:rPr>
                <w:rFonts w:ascii="宋体" w:hAnsi="宋体" w:eastAsia="宋体" w:cs="宋体"/>
                <w:sz w:val="18"/>
                <w:szCs w:val="18"/>
              </w:rPr>
            </w:pPr>
            <w:r>
              <w:rPr>
                <w:rFonts w:hint="eastAsia" w:ascii="宋体" w:hAnsi="宋体" w:eastAsia="宋体" w:cs="宋体"/>
                <w:color w:val="000000"/>
                <w:sz w:val="18"/>
                <w:szCs w:val="18"/>
              </w:rPr>
              <w:t>全年预算数</w:t>
            </w:r>
          </w:p>
        </w:tc>
        <w:tc>
          <w:tcPr>
            <w:tcW w:w="1395" w:type="dxa"/>
            <w:vAlign w:val="center"/>
          </w:tcPr>
          <w:p>
            <w:pPr>
              <w:spacing w:line="180" w:lineRule="exact"/>
              <w:jc w:val="center"/>
              <w:rPr>
                <w:rFonts w:ascii="宋体" w:hAnsi="宋体" w:eastAsia="宋体" w:cs="宋体"/>
                <w:sz w:val="18"/>
                <w:szCs w:val="18"/>
              </w:rPr>
            </w:pPr>
            <w:r>
              <w:rPr>
                <w:rFonts w:hint="eastAsia" w:ascii="宋体" w:hAnsi="宋体" w:eastAsia="宋体" w:cs="宋体"/>
                <w:color w:val="000000"/>
                <w:sz w:val="18"/>
                <w:szCs w:val="18"/>
              </w:rPr>
              <w:t>全年执行数</w:t>
            </w:r>
          </w:p>
        </w:tc>
        <w:tc>
          <w:tcPr>
            <w:tcW w:w="2058" w:type="dxa"/>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jc w:val="center"/>
        </w:trPr>
        <w:tc>
          <w:tcPr>
            <w:tcW w:w="1727" w:type="dxa"/>
            <w:gridSpan w:val="2"/>
            <w:vMerge w:val="continue"/>
          </w:tcPr>
          <w:p>
            <w:pPr>
              <w:rPr>
                <w:rFonts w:ascii="宋体" w:hAnsi="宋体" w:eastAsia="宋体" w:cs="宋体"/>
                <w:sz w:val="18"/>
                <w:szCs w:val="18"/>
              </w:rPr>
            </w:pPr>
          </w:p>
        </w:tc>
        <w:tc>
          <w:tcPr>
            <w:tcW w:w="1995" w:type="dxa"/>
            <w:gridSpan w:val="2"/>
            <w:vAlign w:val="center"/>
          </w:tcPr>
          <w:p>
            <w:pPr>
              <w:spacing w:line="180" w:lineRule="exact"/>
              <w:ind w:left="40"/>
              <w:jc w:val="left"/>
              <w:rPr>
                <w:rFonts w:ascii="宋体" w:hAnsi="宋体" w:eastAsia="宋体" w:cs="宋体"/>
                <w:sz w:val="18"/>
                <w:szCs w:val="18"/>
              </w:rPr>
            </w:pPr>
            <w:r>
              <w:rPr>
                <w:rFonts w:hint="eastAsia" w:ascii="宋体" w:hAnsi="宋体" w:eastAsia="宋体" w:cs="宋体"/>
                <w:color w:val="000000"/>
                <w:sz w:val="18"/>
                <w:szCs w:val="18"/>
              </w:rPr>
              <w:t>年度资金总额</w:t>
            </w:r>
          </w:p>
        </w:tc>
        <w:tc>
          <w:tcPr>
            <w:tcW w:w="1201" w:type="dxa"/>
            <w:vAlign w:val="center"/>
          </w:tcPr>
          <w:p>
            <w:pPr>
              <w:jc w:val="center"/>
              <w:rPr>
                <w:rFonts w:ascii="宋体" w:hAnsi="宋体" w:eastAsia="宋体" w:cs="宋体"/>
                <w:sz w:val="18"/>
                <w:szCs w:val="18"/>
              </w:rPr>
            </w:pPr>
            <w:r>
              <w:rPr>
                <w:rFonts w:hint="eastAsia" w:ascii="宋体" w:hAnsi="宋体" w:eastAsia="宋体" w:cs="宋体"/>
                <w:sz w:val="18"/>
                <w:szCs w:val="18"/>
              </w:rPr>
              <w:t>18.3</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18.3</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18.3</w:t>
            </w:r>
          </w:p>
        </w:tc>
        <w:tc>
          <w:tcPr>
            <w:tcW w:w="2058"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jc w:val="center"/>
        </w:trPr>
        <w:tc>
          <w:tcPr>
            <w:tcW w:w="1727" w:type="dxa"/>
            <w:gridSpan w:val="2"/>
            <w:vMerge w:val="continue"/>
          </w:tcPr>
          <w:p>
            <w:pPr>
              <w:rPr>
                <w:rFonts w:ascii="宋体" w:hAnsi="宋体" w:eastAsia="宋体" w:cs="宋体"/>
                <w:sz w:val="18"/>
                <w:szCs w:val="18"/>
              </w:rPr>
            </w:pPr>
          </w:p>
        </w:tc>
        <w:tc>
          <w:tcPr>
            <w:tcW w:w="1995" w:type="dxa"/>
            <w:gridSpan w:val="2"/>
            <w:vAlign w:val="center"/>
          </w:tcPr>
          <w:p>
            <w:pPr>
              <w:spacing w:line="195" w:lineRule="exact"/>
              <w:ind w:left="100"/>
              <w:jc w:val="left"/>
              <w:rPr>
                <w:rFonts w:ascii="宋体" w:hAnsi="宋体" w:eastAsia="宋体" w:cs="宋体"/>
                <w:sz w:val="18"/>
                <w:szCs w:val="18"/>
              </w:rPr>
            </w:pPr>
            <w:r>
              <w:rPr>
                <w:rFonts w:hint="eastAsia" w:ascii="宋体" w:hAnsi="宋体" w:eastAsia="宋体" w:cs="宋体"/>
                <w:color w:val="000000"/>
                <w:sz w:val="18"/>
                <w:szCs w:val="18"/>
              </w:rPr>
              <w:t>（一）财政拨款小计</w:t>
            </w:r>
          </w:p>
        </w:tc>
        <w:tc>
          <w:tcPr>
            <w:tcW w:w="1201" w:type="dxa"/>
            <w:vAlign w:val="center"/>
          </w:tcPr>
          <w:p>
            <w:pPr>
              <w:jc w:val="center"/>
              <w:rPr>
                <w:rFonts w:ascii="宋体" w:hAnsi="宋体" w:eastAsia="宋体" w:cs="宋体"/>
                <w:sz w:val="18"/>
                <w:szCs w:val="18"/>
              </w:rPr>
            </w:pPr>
            <w:r>
              <w:rPr>
                <w:rFonts w:hint="eastAsia" w:ascii="宋体" w:hAnsi="宋体" w:eastAsia="宋体" w:cs="宋体"/>
                <w:sz w:val="18"/>
                <w:szCs w:val="18"/>
              </w:rPr>
              <w:t>18</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18</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18</w:t>
            </w:r>
          </w:p>
        </w:tc>
        <w:tc>
          <w:tcPr>
            <w:tcW w:w="2058"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jc w:val="center"/>
        </w:trPr>
        <w:tc>
          <w:tcPr>
            <w:tcW w:w="1727" w:type="dxa"/>
            <w:gridSpan w:val="2"/>
            <w:vMerge w:val="continue"/>
          </w:tcPr>
          <w:p>
            <w:pPr>
              <w:rPr>
                <w:rFonts w:ascii="宋体" w:hAnsi="宋体" w:eastAsia="宋体" w:cs="宋体"/>
                <w:sz w:val="18"/>
                <w:szCs w:val="18"/>
              </w:rPr>
            </w:pPr>
          </w:p>
        </w:tc>
        <w:tc>
          <w:tcPr>
            <w:tcW w:w="1995" w:type="dxa"/>
            <w:gridSpan w:val="2"/>
            <w:vAlign w:val="center"/>
          </w:tcPr>
          <w:p>
            <w:pPr>
              <w:spacing w:line="195" w:lineRule="exact"/>
              <w:ind w:firstLine="180" w:firstLineChars="100"/>
              <w:rPr>
                <w:rFonts w:ascii="宋体" w:hAnsi="宋体" w:eastAsia="宋体" w:cs="宋体"/>
                <w:sz w:val="18"/>
                <w:szCs w:val="18"/>
              </w:rPr>
            </w:pPr>
            <w:r>
              <w:rPr>
                <w:rFonts w:hint="eastAsia" w:ascii="宋体" w:hAnsi="宋体" w:eastAsia="宋体" w:cs="宋体"/>
                <w:color w:val="000000"/>
                <w:sz w:val="18"/>
                <w:szCs w:val="18"/>
              </w:rPr>
              <w:t>1．一般公共预算</w:t>
            </w:r>
          </w:p>
        </w:tc>
        <w:tc>
          <w:tcPr>
            <w:tcW w:w="1201" w:type="dxa"/>
            <w:vAlign w:val="center"/>
          </w:tcPr>
          <w:p>
            <w:pPr>
              <w:jc w:val="center"/>
              <w:rPr>
                <w:rFonts w:ascii="宋体" w:hAnsi="宋体" w:eastAsia="宋体" w:cs="宋体"/>
                <w:sz w:val="18"/>
                <w:szCs w:val="18"/>
              </w:rPr>
            </w:pPr>
            <w:r>
              <w:rPr>
                <w:rFonts w:hint="eastAsia" w:ascii="宋体" w:hAnsi="宋体" w:eastAsia="宋体" w:cs="宋体"/>
                <w:sz w:val="18"/>
                <w:szCs w:val="18"/>
              </w:rPr>
              <w:t>18</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18</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18</w:t>
            </w:r>
          </w:p>
        </w:tc>
        <w:tc>
          <w:tcPr>
            <w:tcW w:w="2058"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jc w:val="center"/>
        </w:trPr>
        <w:tc>
          <w:tcPr>
            <w:tcW w:w="1727" w:type="dxa"/>
            <w:gridSpan w:val="2"/>
            <w:vMerge w:val="continue"/>
          </w:tcPr>
          <w:p>
            <w:pPr>
              <w:rPr>
                <w:rFonts w:ascii="宋体" w:hAnsi="宋体" w:eastAsia="宋体" w:cs="宋体"/>
                <w:sz w:val="18"/>
                <w:szCs w:val="18"/>
              </w:rPr>
            </w:pPr>
          </w:p>
        </w:tc>
        <w:tc>
          <w:tcPr>
            <w:tcW w:w="1995" w:type="dxa"/>
            <w:gridSpan w:val="2"/>
            <w:vAlign w:val="center"/>
          </w:tcPr>
          <w:p>
            <w:pPr>
              <w:spacing w:line="195" w:lineRule="exact"/>
              <w:ind w:firstLine="180" w:firstLineChars="100"/>
              <w:rPr>
                <w:rFonts w:ascii="宋体" w:hAnsi="宋体" w:eastAsia="宋体" w:cs="宋体"/>
                <w:sz w:val="18"/>
                <w:szCs w:val="18"/>
              </w:rPr>
            </w:pPr>
            <w:r>
              <w:rPr>
                <w:rFonts w:hint="eastAsia" w:ascii="宋体" w:hAnsi="宋体" w:eastAsia="宋体" w:cs="宋体"/>
                <w:color w:val="000000"/>
                <w:sz w:val="18"/>
                <w:szCs w:val="18"/>
              </w:rPr>
              <w:t>2．政府性基金</w:t>
            </w:r>
          </w:p>
        </w:tc>
        <w:tc>
          <w:tcPr>
            <w:tcW w:w="1201" w:type="dxa"/>
            <w:vAlign w:val="center"/>
          </w:tcPr>
          <w:p>
            <w:pPr>
              <w:jc w:val="center"/>
              <w:rPr>
                <w:rFonts w:ascii="宋体" w:hAnsi="宋体" w:eastAsia="宋体" w:cs="宋体"/>
                <w:sz w:val="18"/>
                <w:szCs w:val="18"/>
              </w:rPr>
            </w:pPr>
          </w:p>
        </w:tc>
        <w:tc>
          <w:tcPr>
            <w:tcW w:w="1434" w:type="dxa"/>
            <w:vAlign w:val="center"/>
          </w:tcPr>
          <w:p>
            <w:pPr>
              <w:jc w:val="center"/>
              <w:rPr>
                <w:rFonts w:ascii="宋体" w:hAnsi="宋体" w:eastAsia="宋体" w:cs="宋体"/>
                <w:sz w:val="18"/>
                <w:szCs w:val="18"/>
              </w:rPr>
            </w:pPr>
          </w:p>
        </w:tc>
        <w:tc>
          <w:tcPr>
            <w:tcW w:w="1395" w:type="dxa"/>
            <w:vAlign w:val="center"/>
          </w:tcPr>
          <w:p>
            <w:pPr>
              <w:jc w:val="center"/>
              <w:rPr>
                <w:rFonts w:ascii="宋体" w:hAnsi="宋体" w:eastAsia="宋体" w:cs="宋体"/>
                <w:sz w:val="18"/>
                <w:szCs w:val="18"/>
              </w:rPr>
            </w:pP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jc w:val="center"/>
        </w:trPr>
        <w:tc>
          <w:tcPr>
            <w:tcW w:w="1727" w:type="dxa"/>
            <w:gridSpan w:val="2"/>
            <w:vMerge w:val="continue"/>
          </w:tcPr>
          <w:p>
            <w:pPr>
              <w:rPr>
                <w:rFonts w:ascii="宋体" w:hAnsi="宋体" w:eastAsia="宋体" w:cs="宋体"/>
                <w:sz w:val="18"/>
                <w:szCs w:val="18"/>
              </w:rPr>
            </w:pPr>
          </w:p>
        </w:tc>
        <w:tc>
          <w:tcPr>
            <w:tcW w:w="1995" w:type="dxa"/>
            <w:gridSpan w:val="2"/>
            <w:vAlign w:val="center"/>
          </w:tcPr>
          <w:p>
            <w:pPr>
              <w:spacing w:line="195" w:lineRule="exact"/>
              <w:ind w:firstLine="180" w:firstLineChars="100"/>
              <w:rPr>
                <w:rFonts w:ascii="宋体" w:hAnsi="宋体" w:eastAsia="宋体" w:cs="宋体"/>
                <w:sz w:val="18"/>
                <w:szCs w:val="18"/>
              </w:rPr>
            </w:pPr>
            <w:r>
              <w:rPr>
                <w:rFonts w:hint="eastAsia" w:ascii="宋体" w:hAnsi="宋体" w:eastAsia="宋体" w:cs="宋体"/>
                <w:color w:val="000000"/>
                <w:sz w:val="18"/>
                <w:szCs w:val="18"/>
              </w:rPr>
              <w:t>3．国有资本经营预算</w:t>
            </w:r>
          </w:p>
        </w:tc>
        <w:tc>
          <w:tcPr>
            <w:tcW w:w="1201" w:type="dxa"/>
            <w:vAlign w:val="center"/>
          </w:tcPr>
          <w:p>
            <w:pPr>
              <w:jc w:val="center"/>
              <w:rPr>
                <w:rFonts w:ascii="宋体" w:hAnsi="宋体" w:eastAsia="宋体" w:cs="宋体"/>
                <w:sz w:val="18"/>
                <w:szCs w:val="18"/>
              </w:rPr>
            </w:pPr>
          </w:p>
        </w:tc>
        <w:tc>
          <w:tcPr>
            <w:tcW w:w="1434" w:type="dxa"/>
            <w:vAlign w:val="center"/>
          </w:tcPr>
          <w:p>
            <w:pPr>
              <w:jc w:val="center"/>
              <w:rPr>
                <w:rFonts w:ascii="宋体" w:hAnsi="宋体" w:eastAsia="宋体" w:cs="宋体"/>
                <w:sz w:val="18"/>
                <w:szCs w:val="18"/>
              </w:rPr>
            </w:pPr>
          </w:p>
        </w:tc>
        <w:tc>
          <w:tcPr>
            <w:tcW w:w="1395" w:type="dxa"/>
            <w:vAlign w:val="center"/>
          </w:tcPr>
          <w:p>
            <w:pPr>
              <w:jc w:val="center"/>
              <w:rPr>
                <w:rFonts w:ascii="宋体" w:hAnsi="宋体" w:eastAsia="宋体" w:cs="宋体"/>
                <w:sz w:val="18"/>
                <w:szCs w:val="18"/>
              </w:rPr>
            </w:pP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jc w:val="center"/>
        </w:trPr>
        <w:tc>
          <w:tcPr>
            <w:tcW w:w="1727" w:type="dxa"/>
            <w:gridSpan w:val="2"/>
            <w:vMerge w:val="continue"/>
          </w:tcPr>
          <w:p>
            <w:pPr>
              <w:rPr>
                <w:rFonts w:ascii="宋体" w:hAnsi="宋体" w:eastAsia="宋体" w:cs="宋体"/>
                <w:sz w:val="18"/>
                <w:szCs w:val="18"/>
              </w:rPr>
            </w:pPr>
          </w:p>
        </w:tc>
        <w:tc>
          <w:tcPr>
            <w:tcW w:w="1995" w:type="dxa"/>
            <w:gridSpan w:val="2"/>
            <w:vAlign w:val="center"/>
          </w:tcPr>
          <w:p>
            <w:pPr>
              <w:spacing w:line="195" w:lineRule="exact"/>
              <w:ind w:firstLine="180" w:firstLineChars="100"/>
              <w:rPr>
                <w:rFonts w:ascii="宋体" w:hAnsi="宋体" w:eastAsia="宋体" w:cs="宋体"/>
                <w:sz w:val="18"/>
                <w:szCs w:val="18"/>
              </w:rPr>
            </w:pPr>
            <w:r>
              <w:rPr>
                <w:rFonts w:hint="eastAsia" w:ascii="宋体" w:hAnsi="宋体" w:eastAsia="宋体" w:cs="宋体"/>
                <w:color w:val="000000"/>
                <w:sz w:val="18"/>
                <w:szCs w:val="18"/>
              </w:rPr>
              <w:t>4．社保基金</w:t>
            </w:r>
          </w:p>
        </w:tc>
        <w:tc>
          <w:tcPr>
            <w:tcW w:w="1201" w:type="dxa"/>
            <w:vAlign w:val="center"/>
          </w:tcPr>
          <w:p>
            <w:pPr>
              <w:jc w:val="center"/>
              <w:rPr>
                <w:rFonts w:ascii="宋体" w:hAnsi="宋体" w:eastAsia="宋体" w:cs="宋体"/>
                <w:sz w:val="18"/>
                <w:szCs w:val="18"/>
              </w:rPr>
            </w:pPr>
          </w:p>
        </w:tc>
        <w:tc>
          <w:tcPr>
            <w:tcW w:w="1434" w:type="dxa"/>
            <w:vAlign w:val="center"/>
          </w:tcPr>
          <w:p>
            <w:pPr>
              <w:jc w:val="center"/>
              <w:rPr>
                <w:rFonts w:ascii="宋体" w:hAnsi="宋体" w:eastAsia="宋体" w:cs="宋体"/>
                <w:sz w:val="18"/>
                <w:szCs w:val="18"/>
              </w:rPr>
            </w:pPr>
          </w:p>
        </w:tc>
        <w:tc>
          <w:tcPr>
            <w:tcW w:w="1395" w:type="dxa"/>
            <w:vAlign w:val="center"/>
          </w:tcPr>
          <w:p>
            <w:pPr>
              <w:jc w:val="center"/>
              <w:rPr>
                <w:rFonts w:ascii="宋体" w:hAnsi="宋体" w:eastAsia="宋体" w:cs="宋体"/>
                <w:sz w:val="18"/>
                <w:szCs w:val="18"/>
              </w:rPr>
            </w:pP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jc w:val="center"/>
        </w:trPr>
        <w:tc>
          <w:tcPr>
            <w:tcW w:w="1727" w:type="dxa"/>
            <w:gridSpan w:val="2"/>
            <w:vMerge w:val="continue"/>
          </w:tcPr>
          <w:p>
            <w:pPr>
              <w:rPr>
                <w:rFonts w:ascii="宋体" w:hAnsi="宋体" w:eastAsia="宋体" w:cs="宋体"/>
                <w:sz w:val="18"/>
                <w:szCs w:val="18"/>
              </w:rPr>
            </w:pPr>
          </w:p>
        </w:tc>
        <w:tc>
          <w:tcPr>
            <w:tcW w:w="1995" w:type="dxa"/>
            <w:gridSpan w:val="2"/>
            <w:vAlign w:val="center"/>
          </w:tcPr>
          <w:p>
            <w:pPr>
              <w:spacing w:line="210" w:lineRule="exact"/>
              <w:ind w:left="60"/>
              <w:jc w:val="left"/>
              <w:rPr>
                <w:rFonts w:ascii="宋体" w:hAnsi="宋体" w:eastAsia="宋体" w:cs="宋体"/>
                <w:sz w:val="18"/>
                <w:szCs w:val="18"/>
              </w:rPr>
            </w:pPr>
            <w:r>
              <w:rPr>
                <w:rFonts w:hint="eastAsia" w:ascii="宋体" w:hAnsi="宋体" w:eastAsia="宋体" w:cs="宋体"/>
                <w:color w:val="000000"/>
                <w:sz w:val="18"/>
                <w:szCs w:val="18"/>
              </w:rPr>
              <w:t>（二）其他资金</w:t>
            </w:r>
          </w:p>
        </w:tc>
        <w:tc>
          <w:tcPr>
            <w:tcW w:w="1201" w:type="dxa"/>
            <w:vAlign w:val="center"/>
          </w:tcPr>
          <w:p>
            <w:pPr>
              <w:jc w:val="center"/>
              <w:rPr>
                <w:rFonts w:ascii="宋体" w:hAnsi="宋体" w:eastAsia="宋体" w:cs="宋体"/>
                <w:sz w:val="18"/>
                <w:szCs w:val="18"/>
              </w:rPr>
            </w:pPr>
            <w:r>
              <w:rPr>
                <w:rFonts w:hint="eastAsia" w:ascii="宋体" w:hAnsi="宋体" w:eastAsia="宋体" w:cs="宋体"/>
                <w:sz w:val="18"/>
                <w:szCs w:val="18"/>
              </w:rPr>
              <w:t>0.3</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0.3</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0.3</w:t>
            </w:r>
          </w:p>
        </w:tc>
        <w:tc>
          <w:tcPr>
            <w:tcW w:w="2058"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825" w:type="dxa"/>
            <w:vMerge w:val="restart"/>
          </w:tcPr>
          <w:p>
            <w:pPr>
              <w:spacing w:before="381" w:line="200" w:lineRule="exact"/>
              <w:jc w:val="center"/>
              <w:rPr>
                <w:rFonts w:ascii="宋体" w:hAnsi="宋体" w:eastAsia="宋体" w:cs="宋体"/>
                <w:sz w:val="18"/>
                <w:szCs w:val="18"/>
              </w:rPr>
            </w:pPr>
            <w:r>
              <w:rPr>
                <w:rFonts w:hint="eastAsia" w:ascii="宋体" w:hAnsi="宋体" w:eastAsia="宋体" w:cs="宋体"/>
                <w:color w:val="000000"/>
                <w:sz w:val="18"/>
                <w:szCs w:val="18"/>
              </w:rPr>
              <w:t>年度总体目标</w:t>
            </w:r>
          </w:p>
        </w:tc>
        <w:tc>
          <w:tcPr>
            <w:tcW w:w="6927" w:type="dxa"/>
            <w:gridSpan w:val="6"/>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预期目标</w:t>
            </w:r>
          </w:p>
        </w:tc>
        <w:tc>
          <w:tcPr>
            <w:tcW w:w="2058" w:type="dxa"/>
            <w:vAlign w:val="center"/>
          </w:tcPr>
          <w:p>
            <w:pPr>
              <w:jc w:val="center"/>
              <w:rPr>
                <w:rFonts w:ascii="宋体" w:hAnsi="宋体" w:eastAsia="宋体" w:cs="宋体"/>
                <w:sz w:val="18"/>
                <w:szCs w:val="18"/>
              </w:rPr>
            </w:pPr>
            <w:r>
              <w:rPr>
                <w:rFonts w:hint="eastAsia" w:ascii="宋体" w:hAnsi="宋体" w:eastAsia="宋体" w:cs="宋体"/>
                <w:sz w:val="18"/>
                <w:szCs w:val="1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0" w:hRule="atLeast"/>
          <w:jc w:val="center"/>
        </w:trPr>
        <w:tc>
          <w:tcPr>
            <w:tcW w:w="825" w:type="dxa"/>
            <w:vMerge w:val="continue"/>
          </w:tcPr>
          <w:p>
            <w:pPr>
              <w:rPr>
                <w:rFonts w:ascii="宋体" w:hAnsi="宋体" w:eastAsia="宋体" w:cs="宋体"/>
                <w:sz w:val="18"/>
                <w:szCs w:val="18"/>
              </w:rPr>
            </w:pPr>
          </w:p>
        </w:tc>
        <w:tc>
          <w:tcPr>
            <w:tcW w:w="6927" w:type="dxa"/>
            <w:gridSpan w:val="6"/>
            <w:vAlign w:val="center"/>
          </w:tcPr>
          <w:p>
            <w:pPr>
              <w:rPr>
                <w:rFonts w:ascii="宋体" w:hAnsi="宋体" w:eastAsia="宋体" w:cs="宋体"/>
                <w:sz w:val="18"/>
                <w:szCs w:val="18"/>
              </w:rPr>
            </w:pPr>
            <w:r>
              <w:rPr>
                <w:rFonts w:hint="eastAsia" w:ascii="宋体" w:hAnsi="宋体" w:eastAsia="宋体" w:cs="宋体"/>
                <w:sz w:val="18"/>
                <w:szCs w:val="18"/>
              </w:rPr>
              <w:t>新建广场700㎡（35m×20m）、社区街道绿化40m³（100m×2m×0.2m）、社区绿化树木更换60棵（直径10公分以上），改善人居环境，群众满意度达到95%级以上。</w:t>
            </w:r>
          </w:p>
        </w:tc>
        <w:tc>
          <w:tcPr>
            <w:tcW w:w="2058" w:type="dxa"/>
            <w:vAlign w:val="center"/>
          </w:tcPr>
          <w:p>
            <w:pPr>
              <w:rPr>
                <w:rFonts w:ascii="宋体" w:hAnsi="宋体" w:eastAsia="宋体" w:cs="宋体"/>
                <w:sz w:val="18"/>
                <w:szCs w:val="18"/>
              </w:rPr>
            </w:pPr>
            <w:r>
              <w:rPr>
                <w:rFonts w:hint="eastAsia" w:ascii="宋体" w:hAnsi="宋体" w:eastAsia="宋体" w:cs="宋体"/>
                <w:sz w:val="18"/>
                <w:szCs w:val="18"/>
              </w:rPr>
              <w:t>完成新建广场700㎡（35m×20m）、社区街道绿化40m³（100m×2m×0.2m）、社区绿化树木更换60棵（直径10公分以上），改善人居环境，群众满意度达到95%级以上。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0" w:hRule="atLeast"/>
          <w:jc w:val="center"/>
        </w:trPr>
        <w:tc>
          <w:tcPr>
            <w:tcW w:w="825" w:type="dxa"/>
            <w:vMerge w:val="restart"/>
            <w:vAlign w:val="center"/>
          </w:tcPr>
          <w:p>
            <w:pPr>
              <w:jc w:val="center"/>
              <w:rPr>
                <w:rFonts w:ascii="宋体" w:hAnsi="宋体" w:eastAsia="宋体" w:cs="宋体"/>
                <w:sz w:val="18"/>
                <w:szCs w:val="18"/>
              </w:rPr>
            </w:pPr>
            <w:r>
              <w:rPr>
                <w:rFonts w:hint="eastAsia" w:ascii="宋体" w:hAnsi="宋体" w:eastAsia="宋体" w:cs="宋体"/>
                <w:color w:val="000000"/>
                <w:sz w:val="18"/>
                <w:szCs w:val="18"/>
              </w:rPr>
              <w:t>绩效指标</w:t>
            </w:r>
          </w:p>
        </w:tc>
        <w:tc>
          <w:tcPr>
            <w:tcW w:w="902" w:type="dxa"/>
            <w:vAlign w:val="center"/>
          </w:tcPr>
          <w:p>
            <w:pPr>
              <w:spacing w:line="210" w:lineRule="exact"/>
              <w:ind w:left="20"/>
              <w:jc w:val="left"/>
              <w:rPr>
                <w:rFonts w:ascii="宋体" w:hAnsi="宋体" w:eastAsia="宋体" w:cs="宋体"/>
                <w:sz w:val="18"/>
                <w:szCs w:val="18"/>
              </w:rPr>
            </w:pPr>
            <w:r>
              <w:rPr>
                <w:rFonts w:hint="eastAsia" w:ascii="宋体" w:hAnsi="宋体" w:eastAsia="宋体" w:cs="宋体"/>
                <w:color w:val="000000"/>
                <w:sz w:val="18"/>
                <w:szCs w:val="18"/>
              </w:rPr>
              <w:t>一级指标</w:t>
            </w:r>
          </w:p>
        </w:tc>
        <w:tc>
          <w:tcPr>
            <w:tcW w:w="1018" w:type="dxa"/>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二级指标</w:t>
            </w:r>
          </w:p>
        </w:tc>
        <w:tc>
          <w:tcPr>
            <w:tcW w:w="2178" w:type="dxa"/>
            <w:gridSpan w:val="2"/>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三级指标</w:t>
            </w:r>
          </w:p>
        </w:tc>
        <w:tc>
          <w:tcPr>
            <w:tcW w:w="1434" w:type="dxa"/>
            <w:vAlign w:val="center"/>
          </w:tcPr>
          <w:p>
            <w:pPr>
              <w:spacing w:line="180" w:lineRule="exact"/>
              <w:jc w:val="center"/>
              <w:rPr>
                <w:rFonts w:ascii="宋体" w:hAnsi="宋体" w:eastAsia="宋体" w:cs="宋体"/>
                <w:sz w:val="18"/>
                <w:szCs w:val="18"/>
              </w:rPr>
            </w:pPr>
            <w:r>
              <w:rPr>
                <w:rFonts w:hint="eastAsia" w:ascii="宋体" w:hAnsi="宋体" w:eastAsia="宋体" w:cs="宋体"/>
                <w:color w:val="000000"/>
                <w:sz w:val="18"/>
                <w:szCs w:val="18"/>
              </w:rPr>
              <w:t>年度指标值</w:t>
            </w:r>
          </w:p>
        </w:tc>
        <w:tc>
          <w:tcPr>
            <w:tcW w:w="1395" w:type="dxa"/>
            <w:vAlign w:val="center"/>
          </w:tcPr>
          <w:p>
            <w:pPr>
              <w:spacing w:line="180" w:lineRule="exact"/>
              <w:jc w:val="center"/>
              <w:rPr>
                <w:rFonts w:ascii="宋体" w:hAnsi="宋体" w:eastAsia="宋体" w:cs="宋体"/>
                <w:sz w:val="18"/>
                <w:szCs w:val="18"/>
              </w:rPr>
            </w:pPr>
            <w:r>
              <w:rPr>
                <w:rFonts w:hint="eastAsia" w:ascii="宋体" w:hAnsi="宋体" w:eastAsia="宋体" w:cs="宋体"/>
                <w:color w:val="000000"/>
                <w:sz w:val="18"/>
                <w:szCs w:val="18"/>
              </w:rPr>
              <w:t>实际完成值</w:t>
            </w:r>
          </w:p>
        </w:tc>
        <w:tc>
          <w:tcPr>
            <w:tcW w:w="2058" w:type="dxa"/>
          </w:tcPr>
          <w:p>
            <w:pPr>
              <w:spacing w:before="52" w:line="154" w:lineRule="exact"/>
              <w:ind w:left="20"/>
              <w:jc w:val="left"/>
              <w:rPr>
                <w:rFonts w:ascii="宋体" w:hAnsi="宋体" w:eastAsia="宋体" w:cs="宋体"/>
                <w:sz w:val="18"/>
                <w:szCs w:val="18"/>
              </w:rPr>
            </w:pPr>
            <w:r>
              <w:rPr>
                <w:rFonts w:hint="eastAsia" w:ascii="宋体" w:hAnsi="宋体" w:eastAsia="宋体" w:cs="宋体"/>
                <w:color w:val="000000"/>
                <w:sz w:val="18"/>
                <w:szCs w:val="18"/>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825" w:type="dxa"/>
            <w:vMerge w:val="continue"/>
          </w:tcPr>
          <w:p>
            <w:pPr>
              <w:rPr>
                <w:rFonts w:ascii="宋体" w:hAnsi="宋体" w:eastAsia="宋体" w:cs="宋体"/>
                <w:sz w:val="18"/>
                <w:szCs w:val="18"/>
              </w:rPr>
            </w:pPr>
          </w:p>
        </w:tc>
        <w:tc>
          <w:tcPr>
            <w:tcW w:w="902" w:type="dxa"/>
            <w:vMerge w:val="restart"/>
            <w:vAlign w:val="center"/>
          </w:tcPr>
          <w:p>
            <w:pPr>
              <w:jc w:val="center"/>
              <w:rPr>
                <w:rFonts w:ascii="宋体" w:hAnsi="宋体" w:eastAsia="宋体" w:cs="宋体"/>
                <w:sz w:val="18"/>
                <w:szCs w:val="18"/>
              </w:rPr>
            </w:pPr>
            <w:r>
              <w:rPr>
                <w:rFonts w:hint="eastAsia" w:ascii="宋体" w:hAnsi="宋体" w:eastAsia="宋体" w:cs="宋体"/>
                <w:color w:val="000000"/>
                <w:sz w:val="18"/>
                <w:szCs w:val="18"/>
              </w:rPr>
              <w:t>产出指标</w:t>
            </w:r>
          </w:p>
        </w:tc>
        <w:tc>
          <w:tcPr>
            <w:tcW w:w="1018" w:type="dxa"/>
            <w:vMerge w:val="restart"/>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数量指标</w:t>
            </w:r>
          </w:p>
        </w:tc>
        <w:tc>
          <w:tcPr>
            <w:tcW w:w="2178" w:type="dxa"/>
            <w:gridSpan w:val="2"/>
            <w:vAlign w:val="center"/>
          </w:tcPr>
          <w:p>
            <w:pPr>
              <w:spacing w:line="210" w:lineRule="exact"/>
              <w:ind w:left="200"/>
              <w:rPr>
                <w:rFonts w:ascii="宋体" w:hAnsi="宋体" w:eastAsia="宋体" w:cs="宋体"/>
                <w:sz w:val="18"/>
                <w:szCs w:val="18"/>
              </w:rPr>
            </w:pPr>
            <w:r>
              <w:rPr>
                <w:rFonts w:hint="eastAsia" w:ascii="宋体" w:hAnsi="宋体" w:eastAsia="宋体" w:cs="宋体"/>
                <w:color w:val="000000"/>
                <w:sz w:val="18"/>
                <w:szCs w:val="18"/>
              </w:rPr>
              <w:t>新建广场（个）</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1</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1</w:t>
            </w: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2" w:hRule="atLeast"/>
          <w:jc w:val="center"/>
        </w:trPr>
        <w:tc>
          <w:tcPr>
            <w:tcW w:w="825" w:type="dxa"/>
            <w:vMerge w:val="continue"/>
          </w:tcPr>
          <w:p>
            <w:pPr>
              <w:rPr>
                <w:rFonts w:ascii="宋体" w:hAnsi="宋体" w:eastAsia="宋体" w:cs="宋体"/>
                <w:sz w:val="18"/>
                <w:szCs w:val="18"/>
              </w:rPr>
            </w:pPr>
          </w:p>
        </w:tc>
        <w:tc>
          <w:tcPr>
            <w:tcW w:w="902" w:type="dxa"/>
            <w:vMerge w:val="continue"/>
            <w:vAlign w:val="center"/>
          </w:tcPr>
          <w:p>
            <w:pPr>
              <w:jc w:val="center"/>
              <w:rPr>
                <w:rFonts w:ascii="宋体" w:hAnsi="宋体" w:eastAsia="宋体" w:cs="宋体"/>
                <w:sz w:val="18"/>
                <w:szCs w:val="18"/>
              </w:rPr>
            </w:pPr>
          </w:p>
        </w:tc>
        <w:tc>
          <w:tcPr>
            <w:tcW w:w="1018" w:type="dxa"/>
            <w:vMerge w:val="continue"/>
            <w:vAlign w:val="center"/>
          </w:tcPr>
          <w:p>
            <w:pPr>
              <w:jc w:val="center"/>
              <w:rPr>
                <w:rFonts w:ascii="宋体" w:hAnsi="宋体" w:eastAsia="宋体" w:cs="宋体"/>
                <w:sz w:val="18"/>
                <w:szCs w:val="18"/>
              </w:rPr>
            </w:pPr>
          </w:p>
        </w:tc>
        <w:tc>
          <w:tcPr>
            <w:tcW w:w="2178" w:type="dxa"/>
            <w:gridSpan w:val="2"/>
            <w:vAlign w:val="center"/>
          </w:tcPr>
          <w:p>
            <w:pPr>
              <w:spacing w:line="210" w:lineRule="exact"/>
              <w:ind w:left="220"/>
              <w:rPr>
                <w:rFonts w:ascii="宋体" w:hAnsi="宋体" w:eastAsia="宋体" w:cs="宋体"/>
                <w:color w:val="000000"/>
                <w:sz w:val="18"/>
                <w:szCs w:val="18"/>
              </w:rPr>
            </w:pPr>
            <w:r>
              <w:rPr>
                <w:rFonts w:hint="eastAsia" w:ascii="宋体" w:hAnsi="宋体" w:eastAsia="宋体" w:cs="宋体"/>
                <w:color w:val="000000"/>
                <w:sz w:val="18"/>
                <w:szCs w:val="18"/>
              </w:rPr>
              <w:t>街道绿化范围（</w:t>
            </w:r>
            <w:r>
              <w:rPr>
                <w:rFonts w:hint="eastAsia" w:ascii="宋体" w:hAnsi="宋体" w:eastAsia="宋体" w:cs="宋体"/>
                <w:sz w:val="18"/>
                <w:szCs w:val="18"/>
              </w:rPr>
              <w:t>m³）</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40</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40</w:t>
            </w: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2" w:hRule="atLeast"/>
          <w:jc w:val="center"/>
        </w:trPr>
        <w:tc>
          <w:tcPr>
            <w:tcW w:w="825" w:type="dxa"/>
            <w:vMerge w:val="continue"/>
          </w:tcPr>
          <w:p>
            <w:pPr>
              <w:rPr>
                <w:rFonts w:ascii="宋体" w:hAnsi="宋体" w:eastAsia="宋体" w:cs="宋体"/>
                <w:sz w:val="18"/>
                <w:szCs w:val="18"/>
              </w:rPr>
            </w:pPr>
          </w:p>
        </w:tc>
        <w:tc>
          <w:tcPr>
            <w:tcW w:w="902" w:type="dxa"/>
            <w:vMerge w:val="continue"/>
            <w:vAlign w:val="center"/>
          </w:tcPr>
          <w:p>
            <w:pPr>
              <w:jc w:val="center"/>
              <w:rPr>
                <w:rFonts w:ascii="宋体" w:hAnsi="宋体" w:eastAsia="宋体" w:cs="宋体"/>
                <w:sz w:val="18"/>
                <w:szCs w:val="18"/>
              </w:rPr>
            </w:pPr>
          </w:p>
        </w:tc>
        <w:tc>
          <w:tcPr>
            <w:tcW w:w="1018" w:type="dxa"/>
            <w:vMerge w:val="continue"/>
            <w:vAlign w:val="center"/>
          </w:tcPr>
          <w:p>
            <w:pPr>
              <w:jc w:val="center"/>
              <w:rPr>
                <w:rFonts w:ascii="宋体" w:hAnsi="宋体" w:eastAsia="宋体" w:cs="宋体"/>
                <w:sz w:val="18"/>
                <w:szCs w:val="18"/>
              </w:rPr>
            </w:pPr>
          </w:p>
        </w:tc>
        <w:tc>
          <w:tcPr>
            <w:tcW w:w="2178" w:type="dxa"/>
            <w:gridSpan w:val="2"/>
            <w:vAlign w:val="center"/>
          </w:tcPr>
          <w:p>
            <w:pPr>
              <w:spacing w:line="210" w:lineRule="exact"/>
              <w:ind w:left="220"/>
              <w:rPr>
                <w:rFonts w:ascii="宋体" w:hAnsi="宋体" w:eastAsia="宋体" w:cs="宋体"/>
                <w:sz w:val="18"/>
                <w:szCs w:val="18"/>
              </w:rPr>
            </w:pPr>
            <w:r>
              <w:rPr>
                <w:rFonts w:hint="eastAsia" w:ascii="宋体" w:hAnsi="宋体" w:eastAsia="宋体" w:cs="宋体"/>
                <w:color w:val="000000"/>
                <w:sz w:val="18"/>
                <w:szCs w:val="18"/>
              </w:rPr>
              <w:t>更换绿化树木（棵）</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60</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60</w:t>
            </w: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2" w:hRule="atLeast"/>
          <w:jc w:val="center"/>
        </w:trPr>
        <w:tc>
          <w:tcPr>
            <w:tcW w:w="825" w:type="dxa"/>
            <w:vMerge w:val="continue"/>
          </w:tcPr>
          <w:p>
            <w:pPr>
              <w:rPr>
                <w:rFonts w:ascii="宋体" w:hAnsi="宋体" w:eastAsia="宋体" w:cs="宋体"/>
                <w:sz w:val="18"/>
                <w:szCs w:val="18"/>
              </w:rPr>
            </w:pPr>
          </w:p>
        </w:tc>
        <w:tc>
          <w:tcPr>
            <w:tcW w:w="902" w:type="dxa"/>
            <w:vMerge w:val="continue"/>
            <w:vAlign w:val="center"/>
          </w:tcPr>
          <w:p>
            <w:pPr>
              <w:jc w:val="center"/>
              <w:rPr>
                <w:rFonts w:ascii="宋体" w:hAnsi="宋体" w:eastAsia="宋体" w:cs="宋体"/>
                <w:sz w:val="18"/>
                <w:szCs w:val="18"/>
              </w:rPr>
            </w:pPr>
          </w:p>
        </w:tc>
        <w:tc>
          <w:tcPr>
            <w:tcW w:w="1018" w:type="dxa"/>
            <w:vAlign w:val="center"/>
          </w:tcPr>
          <w:p>
            <w:pPr>
              <w:jc w:val="center"/>
              <w:rPr>
                <w:rFonts w:ascii="宋体" w:hAnsi="宋体" w:eastAsia="宋体" w:cs="宋体"/>
                <w:sz w:val="18"/>
                <w:szCs w:val="18"/>
              </w:rPr>
            </w:pPr>
            <w:r>
              <w:rPr>
                <w:rFonts w:hint="eastAsia" w:ascii="宋体" w:hAnsi="宋体" w:eastAsia="宋体" w:cs="宋体"/>
                <w:color w:val="000000"/>
                <w:sz w:val="18"/>
                <w:szCs w:val="18"/>
              </w:rPr>
              <w:t>质量指标</w:t>
            </w:r>
          </w:p>
        </w:tc>
        <w:tc>
          <w:tcPr>
            <w:tcW w:w="2178" w:type="dxa"/>
            <w:gridSpan w:val="2"/>
            <w:vAlign w:val="center"/>
          </w:tcPr>
          <w:p>
            <w:pPr>
              <w:spacing w:line="210" w:lineRule="exact"/>
              <w:ind w:left="220"/>
              <w:rPr>
                <w:rFonts w:ascii="宋体" w:hAnsi="宋体" w:eastAsia="宋体" w:cs="宋体"/>
                <w:sz w:val="18"/>
                <w:szCs w:val="18"/>
              </w:rPr>
            </w:pPr>
            <w:r>
              <w:rPr>
                <w:rFonts w:hint="eastAsia" w:ascii="宋体" w:hAnsi="宋体" w:eastAsia="宋体" w:cs="宋体"/>
                <w:color w:val="000000"/>
                <w:sz w:val="18"/>
                <w:szCs w:val="18"/>
              </w:rPr>
              <w:t>项目验收合格率</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2" w:hRule="atLeast"/>
          <w:jc w:val="center"/>
        </w:trPr>
        <w:tc>
          <w:tcPr>
            <w:tcW w:w="825" w:type="dxa"/>
            <w:vMerge w:val="continue"/>
          </w:tcPr>
          <w:p>
            <w:pPr>
              <w:rPr>
                <w:rFonts w:ascii="宋体" w:hAnsi="宋体" w:eastAsia="宋体" w:cs="宋体"/>
                <w:sz w:val="18"/>
                <w:szCs w:val="18"/>
              </w:rPr>
            </w:pPr>
          </w:p>
        </w:tc>
        <w:tc>
          <w:tcPr>
            <w:tcW w:w="902" w:type="dxa"/>
            <w:vMerge w:val="continue"/>
            <w:vAlign w:val="center"/>
          </w:tcPr>
          <w:p>
            <w:pPr>
              <w:jc w:val="center"/>
              <w:rPr>
                <w:rFonts w:ascii="宋体" w:hAnsi="宋体" w:eastAsia="宋体" w:cs="宋体"/>
                <w:sz w:val="18"/>
                <w:szCs w:val="18"/>
              </w:rPr>
            </w:pPr>
          </w:p>
        </w:tc>
        <w:tc>
          <w:tcPr>
            <w:tcW w:w="1018" w:type="dxa"/>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时效指标</w:t>
            </w:r>
          </w:p>
        </w:tc>
        <w:tc>
          <w:tcPr>
            <w:tcW w:w="2178" w:type="dxa"/>
            <w:gridSpan w:val="2"/>
            <w:vAlign w:val="center"/>
          </w:tcPr>
          <w:p>
            <w:pPr>
              <w:spacing w:line="210" w:lineRule="exact"/>
              <w:ind w:left="220"/>
              <w:rPr>
                <w:rFonts w:ascii="宋体" w:hAnsi="宋体" w:eastAsia="宋体" w:cs="宋体"/>
                <w:sz w:val="18"/>
                <w:szCs w:val="18"/>
              </w:rPr>
            </w:pPr>
            <w:r>
              <w:rPr>
                <w:rFonts w:hint="eastAsia" w:ascii="宋体" w:hAnsi="宋体" w:eastAsia="宋体" w:cs="宋体"/>
                <w:color w:val="000000"/>
                <w:sz w:val="18"/>
                <w:szCs w:val="18"/>
              </w:rPr>
              <w:t>项目完成及时率</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2" w:hRule="atLeast"/>
          <w:jc w:val="center"/>
        </w:trPr>
        <w:tc>
          <w:tcPr>
            <w:tcW w:w="825" w:type="dxa"/>
            <w:vMerge w:val="continue"/>
          </w:tcPr>
          <w:p>
            <w:pPr>
              <w:rPr>
                <w:rFonts w:ascii="宋体" w:hAnsi="宋体" w:eastAsia="宋体" w:cs="宋体"/>
                <w:sz w:val="18"/>
                <w:szCs w:val="18"/>
              </w:rPr>
            </w:pPr>
          </w:p>
        </w:tc>
        <w:tc>
          <w:tcPr>
            <w:tcW w:w="902" w:type="dxa"/>
            <w:vMerge w:val="continue"/>
            <w:vAlign w:val="center"/>
          </w:tcPr>
          <w:p>
            <w:pPr>
              <w:jc w:val="center"/>
              <w:rPr>
                <w:rFonts w:ascii="宋体" w:hAnsi="宋体" w:eastAsia="宋体" w:cs="宋体"/>
                <w:sz w:val="18"/>
                <w:szCs w:val="18"/>
              </w:rPr>
            </w:pPr>
          </w:p>
        </w:tc>
        <w:tc>
          <w:tcPr>
            <w:tcW w:w="1018" w:type="dxa"/>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成本指标</w:t>
            </w:r>
          </w:p>
        </w:tc>
        <w:tc>
          <w:tcPr>
            <w:tcW w:w="2178" w:type="dxa"/>
            <w:gridSpan w:val="2"/>
            <w:vAlign w:val="center"/>
          </w:tcPr>
          <w:p>
            <w:pPr>
              <w:spacing w:line="210" w:lineRule="exact"/>
              <w:ind w:left="200"/>
              <w:rPr>
                <w:rFonts w:ascii="宋体" w:hAnsi="宋体" w:eastAsia="宋体" w:cs="宋体"/>
                <w:sz w:val="18"/>
                <w:szCs w:val="18"/>
              </w:rPr>
            </w:pPr>
            <w:r>
              <w:rPr>
                <w:rFonts w:hint="eastAsia" w:ascii="宋体" w:hAnsi="宋体" w:eastAsia="宋体" w:cs="宋体"/>
                <w:color w:val="000000"/>
                <w:sz w:val="18"/>
                <w:szCs w:val="18"/>
              </w:rPr>
              <w:t>项目资金（万元）</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18.3</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18.3</w:t>
            </w: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0" w:hRule="atLeast"/>
          <w:jc w:val="center"/>
        </w:trPr>
        <w:tc>
          <w:tcPr>
            <w:tcW w:w="825" w:type="dxa"/>
            <w:vMerge w:val="continue"/>
          </w:tcPr>
          <w:p>
            <w:pPr>
              <w:rPr>
                <w:rFonts w:ascii="宋体" w:hAnsi="宋体" w:eastAsia="宋体" w:cs="宋体"/>
                <w:sz w:val="18"/>
                <w:szCs w:val="18"/>
              </w:rPr>
            </w:pPr>
          </w:p>
        </w:tc>
        <w:tc>
          <w:tcPr>
            <w:tcW w:w="902" w:type="dxa"/>
            <w:vMerge w:val="restart"/>
            <w:vAlign w:val="center"/>
          </w:tcPr>
          <w:p>
            <w:pPr>
              <w:jc w:val="center"/>
              <w:rPr>
                <w:rFonts w:ascii="宋体" w:hAnsi="宋体" w:eastAsia="宋体" w:cs="宋体"/>
                <w:sz w:val="18"/>
                <w:szCs w:val="18"/>
              </w:rPr>
            </w:pPr>
            <w:r>
              <w:rPr>
                <w:rFonts w:hint="eastAsia" w:ascii="宋体" w:hAnsi="宋体" w:eastAsia="宋体" w:cs="宋体"/>
                <w:color w:val="000000"/>
                <w:sz w:val="18"/>
                <w:szCs w:val="18"/>
              </w:rPr>
              <w:t>效益指标</w:t>
            </w:r>
          </w:p>
        </w:tc>
        <w:tc>
          <w:tcPr>
            <w:tcW w:w="1018" w:type="dxa"/>
            <w:vAlign w:val="center"/>
          </w:tcPr>
          <w:p>
            <w:pPr>
              <w:spacing w:before="174" w:line="186" w:lineRule="exact"/>
              <w:jc w:val="center"/>
              <w:rPr>
                <w:rFonts w:ascii="宋体" w:hAnsi="宋体" w:eastAsia="宋体" w:cs="宋体"/>
                <w:sz w:val="18"/>
                <w:szCs w:val="18"/>
              </w:rPr>
            </w:pPr>
            <w:r>
              <w:rPr>
                <w:rFonts w:hint="eastAsia" w:ascii="宋体" w:hAnsi="宋体" w:eastAsia="宋体" w:cs="宋体"/>
                <w:color w:val="000000"/>
                <w:sz w:val="18"/>
                <w:szCs w:val="18"/>
              </w:rPr>
              <w:t>社会效益</w:t>
            </w:r>
          </w:p>
          <w:p>
            <w:pPr>
              <w:spacing w:line="175" w:lineRule="exact"/>
              <w:jc w:val="center"/>
              <w:rPr>
                <w:rFonts w:ascii="宋体" w:hAnsi="宋体" w:eastAsia="宋体" w:cs="宋体"/>
                <w:sz w:val="18"/>
                <w:szCs w:val="18"/>
              </w:rPr>
            </w:pPr>
            <w:r>
              <w:rPr>
                <w:rFonts w:hint="eastAsia" w:ascii="宋体" w:hAnsi="宋体" w:eastAsia="宋体" w:cs="宋体"/>
                <w:color w:val="000000"/>
                <w:sz w:val="18"/>
                <w:szCs w:val="18"/>
              </w:rPr>
              <w:t>指标</w:t>
            </w:r>
          </w:p>
        </w:tc>
        <w:tc>
          <w:tcPr>
            <w:tcW w:w="2178" w:type="dxa"/>
            <w:gridSpan w:val="2"/>
            <w:vAlign w:val="center"/>
          </w:tcPr>
          <w:p>
            <w:pPr>
              <w:spacing w:line="210" w:lineRule="exact"/>
              <w:ind w:left="200"/>
              <w:rPr>
                <w:rFonts w:ascii="宋体" w:hAnsi="宋体" w:eastAsia="宋体" w:cs="宋体"/>
                <w:sz w:val="18"/>
                <w:szCs w:val="18"/>
              </w:rPr>
            </w:pPr>
            <w:r>
              <w:rPr>
                <w:rFonts w:hint="eastAsia" w:ascii="宋体" w:hAnsi="宋体" w:eastAsia="宋体" w:cs="宋体"/>
                <w:color w:val="000000"/>
                <w:sz w:val="18"/>
                <w:szCs w:val="18"/>
              </w:rPr>
              <w:t>居民幸福指数提升</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提升</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提升</w:t>
            </w: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0" w:hRule="atLeast"/>
          <w:jc w:val="center"/>
        </w:trPr>
        <w:tc>
          <w:tcPr>
            <w:tcW w:w="825" w:type="dxa"/>
            <w:vMerge w:val="continue"/>
          </w:tcPr>
          <w:p>
            <w:pPr>
              <w:rPr>
                <w:rFonts w:ascii="宋体" w:hAnsi="宋体" w:eastAsia="宋体" w:cs="宋体"/>
                <w:sz w:val="18"/>
                <w:szCs w:val="18"/>
              </w:rPr>
            </w:pPr>
          </w:p>
        </w:tc>
        <w:tc>
          <w:tcPr>
            <w:tcW w:w="902" w:type="dxa"/>
            <w:vMerge w:val="continue"/>
          </w:tcPr>
          <w:p>
            <w:pPr>
              <w:rPr>
                <w:rFonts w:ascii="宋体" w:hAnsi="宋体" w:eastAsia="宋体" w:cs="宋体"/>
                <w:sz w:val="18"/>
                <w:szCs w:val="18"/>
              </w:rPr>
            </w:pPr>
          </w:p>
        </w:tc>
        <w:tc>
          <w:tcPr>
            <w:tcW w:w="1018" w:type="dxa"/>
            <w:vAlign w:val="center"/>
          </w:tcPr>
          <w:p>
            <w:pPr>
              <w:spacing w:before="58" w:line="168" w:lineRule="exact"/>
              <w:jc w:val="center"/>
              <w:rPr>
                <w:rFonts w:ascii="宋体" w:hAnsi="宋体" w:eastAsia="宋体" w:cs="宋体"/>
                <w:sz w:val="18"/>
                <w:szCs w:val="18"/>
              </w:rPr>
            </w:pPr>
            <w:r>
              <w:rPr>
                <w:rFonts w:hint="eastAsia" w:ascii="宋体" w:hAnsi="宋体" w:eastAsia="宋体" w:cs="宋体"/>
                <w:color w:val="000000"/>
                <w:sz w:val="18"/>
                <w:szCs w:val="18"/>
              </w:rPr>
              <w:t>生态效益</w:t>
            </w:r>
          </w:p>
          <w:p>
            <w:pPr>
              <w:spacing w:line="157" w:lineRule="exact"/>
              <w:jc w:val="center"/>
              <w:rPr>
                <w:rFonts w:ascii="宋体" w:hAnsi="宋体" w:eastAsia="宋体" w:cs="宋体"/>
                <w:sz w:val="18"/>
                <w:szCs w:val="18"/>
              </w:rPr>
            </w:pPr>
            <w:r>
              <w:rPr>
                <w:rFonts w:hint="eastAsia" w:ascii="宋体" w:hAnsi="宋体" w:eastAsia="宋体" w:cs="宋体"/>
                <w:color w:val="000000"/>
                <w:sz w:val="18"/>
                <w:szCs w:val="18"/>
              </w:rPr>
              <w:t>指标</w:t>
            </w:r>
          </w:p>
        </w:tc>
        <w:tc>
          <w:tcPr>
            <w:tcW w:w="2178" w:type="dxa"/>
            <w:gridSpan w:val="2"/>
            <w:vAlign w:val="center"/>
          </w:tcPr>
          <w:p>
            <w:pPr>
              <w:spacing w:line="210" w:lineRule="exact"/>
              <w:ind w:left="200"/>
              <w:rPr>
                <w:rFonts w:ascii="宋体" w:hAnsi="宋体" w:eastAsia="宋体" w:cs="宋体"/>
                <w:sz w:val="18"/>
                <w:szCs w:val="18"/>
              </w:rPr>
            </w:pPr>
            <w:r>
              <w:rPr>
                <w:rFonts w:hint="eastAsia" w:ascii="宋体" w:hAnsi="宋体" w:eastAsia="宋体" w:cs="宋体"/>
                <w:color w:val="000000"/>
                <w:sz w:val="18"/>
                <w:szCs w:val="18"/>
              </w:rPr>
              <w:t>人居环境改善</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改善</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改善</w:t>
            </w: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0" w:hRule="atLeast"/>
          <w:jc w:val="center"/>
        </w:trPr>
        <w:tc>
          <w:tcPr>
            <w:tcW w:w="825" w:type="dxa"/>
            <w:vMerge w:val="continue"/>
          </w:tcPr>
          <w:p>
            <w:pPr>
              <w:rPr>
                <w:rFonts w:ascii="宋体" w:hAnsi="宋体" w:eastAsia="宋体" w:cs="宋体"/>
                <w:sz w:val="18"/>
                <w:szCs w:val="18"/>
              </w:rPr>
            </w:pPr>
          </w:p>
        </w:tc>
        <w:tc>
          <w:tcPr>
            <w:tcW w:w="902" w:type="dxa"/>
            <w:vMerge w:val="continue"/>
          </w:tcPr>
          <w:p>
            <w:pPr>
              <w:rPr>
                <w:rFonts w:ascii="宋体" w:hAnsi="宋体" w:eastAsia="宋体" w:cs="宋体"/>
                <w:sz w:val="18"/>
                <w:szCs w:val="18"/>
              </w:rPr>
            </w:pPr>
          </w:p>
        </w:tc>
        <w:tc>
          <w:tcPr>
            <w:tcW w:w="1018" w:type="dxa"/>
          </w:tcPr>
          <w:p>
            <w:pPr>
              <w:spacing w:before="197" w:line="180" w:lineRule="exact"/>
              <w:jc w:val="center"/>
              <w:rPr>
                <w:rFonts w:ascii="宋体" w:hAnsi="宋体" w:eastAsia="宋体" w:cs="宋体"/>
                <w:sz w:val="18"/>
                <w:szCs w:val="18"/>
              </w:rPr>
            </w:pPr>
            <w:r>
              <w:rPr>
                <w:rFonts w:hint="eastAsia" w:ascii="宋体" w:hAnsi="宋体" w:eastAsia="宋体" w:cs="宋体"/>
                <w:color w:val="000000"/>
                <w:sz w:val="18"/>
                <w:szCs w:val="18"/>
              </w:rPr>
              <w:t>可持续影响指标</w:t>
            </w:r>
          </w:p>
        </w:tc>
        <w:tc>
          <w:tcPr>
            <w:tcW w:w="2178" w:type="dxa"/>
            <w:gridSpan w:val="2"/>
            <w:vAlign w:val="center"/>
          </w:tcPr>
          <w:p>
            <w:pPr>
              <w:spacing w:line="210" w:lineRule="exact"/>
              <w:ind w:left="220"/>
              <w:rPr>
                <w:rFonts w:ascii="宋体" w:hAnsi="宋体" w:eastAsia="宋体" w:cs="宋体"/>
                <w:sz w:val="18"/>
                <w:szCs w:val="18"/>
              </w:rPr>
            </w:pPr>
            <w:r>
              <w:rPr>
                <w:rFonts w:hint="eastAsia" w:ascii="宋体" w:hAnsi="宋体" w:eastAsia="宋体" w:cs="宋体"/>
                <w:color w:val="000000"/>
                <w:sz w:val="18"/>
                <w:szCs w:val="18"/>
              </w:rPr>
              <w:t>项目持续发挥作用年限</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≥5年</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5年</w:t>
            </w: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0" w:hRule="atLeast"/>
          <w:jc w:val="center"/>
        </w:trPr>
        <w:tc>
          <w:tcPr>
            <w:tcW w:w="825" w:type="dxa"/>
            <w:vMerge w:val="continue"/>
          </w:tcPr>
          <w:p>
            <w:pPr>
              <w:rPr>
                <w:rFonts w:ascii="宋体" w:hAnsi="宋体" w:eastAsia="宋体" w:cs="宋体"/>
                <w:sz w:val="18"/>
                <w:szCs w:val="18"/>
              </w:rPr>
            </w:pPr>
          </w:p>
        </w:tc>
        <w:tc>
          <w:tcPr>
            <w:tcW w:w="902" w:type="dxa"/>
          </w:tcPr>
          <w:p>
            <w:pPr>
              <w:spacing w:before="124" w:line="168" w:lineRule="exact"/>
              <w:jc w:val="center"/>
              <w:rPr>
                <w:rFonts w:ascii="宋体" w:hAnsi="宋体" w:eastAsia="宋体" w:cs="宋体"/>
                <w:sz w:val="18"/>
                <w:szCs w:val="18"/>
              </w:rPr>
            </w:pPr>
            <w:r>
              <w:rPr>
                <w:rFonts w:hint="eastAsia" w:ascii="宋体" w:hAnsi="宋体" w:eastAsia="宋体" w:cs="宋体"/>
                <w:color w:val="000000"/>
                <w:sz w:val="18"/>
                <w:szCs w:val="18"/>
              </w:rPr>
              <w:t>满意度</w:t>
            </w:r>
          </w:p>
          <w:p>
            <w:pPr>
              <w:spacing w:line="157" w:lineRule="exact"/>
              <w:jc w:val="center"/>
              <w:rPr>
                <w:rFonts w:ascii="宋体" w:hAnsi="宋体" w:eastAsia="宋体" w:cs="宋体"/>
                <w:sz w:val="18"/>
                <w:szCs w:val="18"/>
              </w:rPr>
            </w:pPr>
            <w:r>
              <w:rPr>
                <w:rFonts w:hint="eastAsia" w:ascii="宋体" w:hAnsi="宋体" w:eastAsia="宋体" w:cs="宋体"/>
                <w:color w:val="000000"/>
                <w:sz w:val="18"/>
                <w:szCs w:val="18"/>
              </w:rPr>
              <w:t>指标</w:t>
            </w:r>
          </w:p>
        </w:tc>
        <w:tc>
          <w:tcPr>
            <w:tcW w:w="1018" w:type="dxa"/>
          </w:tcPr>
          <w:p>
            <w:pPr>
              <w:spacing w:before="138" w:line="140" w:lineRule="exact"/>
              <w:jc w:val="center"/>
              <w:rPr>
                <w:rFonts w:ascii="宋体" w:hAnsi="宋体" w:eastAsia="宋体" w:cs="宋体"/>
                <w:sz w:val="18"/>
                <w:szCs w:val="18"/>
              </w:rPr>
            </w:pPr>
            <w:r>
              <w:rPr>
                <w:rFonts w:hint="eastAsia" w:ascii="宋体" w:hAnsi="宋体" w:eastAsia="宋体" w:cs="宋体"/>
                <w:color w:val="000000"/>
                <w:sz w:val="18"/>
                <w:szCs w:val="18"/>
              </w:rPr>
              <w:t>服务对象满</w:t>
            </w:r>
          </w:p>
          <w:p>
            <w:pPr>
              <w:spacing w:line="168" w:lineRule="exact"/>
              <w:jc w:val="center"/>
              <w:rPr>
                <w:rFonts w:ascii="宋体" w:hAnsi="宋体" w:eastAsia="宋体" w:cs="宋体"/>
                <w:sz w:val="18"/>
                <w:szCs w:val="18"/>
              </w:rPr>
            </w:pPr>
            <w:r>
              <w:rPr>
                <w:rFonts w:hint="eastAsia" w:ascii="宋体" w:hAnsi="宋体" w:eastAsia="宋体" w:cs="宋体"/>
                <w:color w:val="000000"/>
                <w:sz w:val="18"/>
                <w:szCs w:val="18"/>
              </w:rPr>
              <w:t>意度指标</w:t>
            </w:r>
          </w:p>
        </w:tc>
        <w:tc>
          <w:tcPr>
            <w:tcW w:w="2178" w:type="dxa"/>
            <w:gridSpan w:val="2"/>
            <w:vAlign w:val="center"/>
          </w:tcPr>
          <w:p>
            <w:pPr>
              <w:spacing w:line="210" w:lineRule="exact"/>
              <w:ind w:firstLine="180" w:firstLineChars="100"/>
              <w:jc w:val="left"/>
              <w:rPr>
                <w:rFonts w:ascii="宋体" w:hAnsi="宋体" w:eastAsia="宋体" w:cs="宋体"/>
                <w:sz w:val="18"/>
                <w:szCs w:val="18"/>
              </w:rPr>
            </w:pPr>
            <w:r>
              <w:rPr>
                <w:rFonts w:hint="eastAsia" w:ascii="宋体" w:hAnsi="宋体" w:eastAsia="宋体" w:cs="宋体"/>
                <w:color w:val="000000"/>
                <w:sz w:val="18"/>
                <w:szCs w:val="18"/>
              </w:rPr>
              <w:t>群众满意度</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≥95%</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95%</w:t>
            </w:r>
          </w:p>
        </w:tc>
        <w:tc>
          <w:tcPr>
            <w:tcW w:w="2058" w:type="dxa"/>
            <w:vAlign w:val="center"/>
          </w:tcPr>
          <w:p>
            <w:pPr>
              <w:jc w:val="center"/>
              <w:rPr>
                <w:rFonts w:ascii="宋体" w:hAnsi="宋体" w:eastAsia="宋体" w:cs="宋体"/>
                <w:sz w:val="18"/>
                <w:szCs w:val="18"/>
              </w:rPr>
            </w:pPr>
          </w:p>
        </w:tc>
      </w:tr>
    </w:tbl>
    <w:p>
      <w:pPr>
        <w:pStyle w:val="9"/>
        <w:rPr>
          <w:rFonts w:ascii="仿宋_GB2312" w:hAnsi="仿宋_GB2312" w:eastAsia="仿宋_GB2312" w:cs="仿宋_GB2312"/>
          <w:sz w:val="32"/>
          <w:szCs w:val="32"/>
        </w:rPr>
      </w:pPr>
    </w:p>
    <w:p>
      <w:pPr>
        <w:spacing w:line="576" w:lineRule="exact"/>
        <w:jc w:val="center"/>
        <w:rPr>
          <w:rFonts w:ascii="方正小标宋简体" w:hAnsi="方正小标宋简体" w:eastAsia="方正小标宋简体" w:cs="方正小标宋简体"/>
          <w:bCs/>
          <w:color w:val="000000"/>
          <w:sz w:val="44"/>
          <w:szCs w:val="44"/>
        </w:rPr>
      </w:pPr>
    </w:p>
    <w:p>
      <w:pPr>
        <w:spacing w:line="576" w:lineRule="exact"/>
        <w:jc w:val="center"/>
        <w:rPr>
          <w:rFonts w:ascii="方正小标宋简体" w:hAnsi="方正小标宋简体" w:eastAsia="方正小标宋简体" w:cs="方正小标宋简体"/>
          <w:bCs/>
          <w:color w:val="000000"/>
          <w:sz w:val="44"/>
          <w:szCs w:val="44"/>
        </w:rPr>
      </w:pPr>
    </w:p>
    <w:p>
      <w:pPr>
        <w:spacing w:line="576" w:lineRule="exact"/>
        <w:jc w:val="center"/>
        <w:rPr>
          <w:rFonts w:ascii="方正小标宋简体" w:hAnsi="方正小标宋简体" w:eastAsia="方正小标宋简体" w:cs="方正小标宋简体"/>
          <w:bCs/>
          <w:color w:val="000000"/>
          <w:sz w:val="44"/>
          <w:szCs w:val="44"/>
        </w:rPr>
      </w:pPr>
    </w:p>
    <w:p>
      <w:pPr>
        <w:spacing w:line="576" w:lineRule="exact"/>
        <w:jc w:val="left"/>
        <w:rPr>
          <w:rFonts w:ascii="黑体" w:hAnsi="黑体" w:eastAsia="黑体" w:cs="黑体"/>
          <w:bCs/>
          <w:color w:val="000000"/>
          <w:sz w:val="32"/>
          <w:szCs w:val="32"/>
        </w:rPr>
      </w:pPr>
      <w:r>
        <w:rPr>
          <w:rFonts w:hint="eastAsia" w:ascii="黑体" w:hAnsi="黑体" w:eastAsia="黑体" w:cs="黑体"/>
          <w:bCs/>
          <w:color w:val="000000"/>
          <w:sz w:val="32"/>
          <w:szCs w:val="32"/>
        </w:rPr>
        <w:t>附件2-3</w:t>
      </w:r>
    </w:p>
    <w:p>
      <w:pPr>
        <w:spacing w:line="576" w:lineRule="exact"/>
        <w:jc w:val="center"/>
        <w:rPr>
          <w:rFonts w:ascii="方正小标宋简体" w:hAnsi="方正小标宋简体" w:eastAsia="方正小标宋简体" w:cs="方正小标宋简体"/>
          <w:bCs/>
          <w:color w:val="000000"/>
          <w:sz w:val="44"/>
          <w:szCs w:val="44"/>
        </w:rPr>
      </w:pPr>
    </w:p>
    <w:p>
      <w:pPr>
        <w:spacing w:line="576"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广元市昭化区虎跳镇人民政府</w:t>
      </w:r>
    </w:p>
    <w:p>
      <w:pPr>
        <w:spacing w:line="576" w:lineRule="exact"/>
        <w:jc w:val="center"/>
        <w:rPr>
          <w:rFonts w:ascii="仿宋_GB2312" w:hAnsi="仿宋_GB2312" w:eastAsia="方正小标宋简体" w:cs="仿宋_GB2312"/>
          <w:bCs/>
          <w:color w:val="000000"/>
          <w:sz w:val="44"/>
          <w:szCs w:val="44"/>
        </w:rPr>
      </w:pPr>
      <w:r>
        <w:rPr>
          <w:rFonts w:hint="eastAsia" w:ascii="方正小标宋简体" w:hAnsi="方正小标宋简体" w:eastAsia="方正小标宋简体" w:cs="方正小标宋简体"/>
          <w:bCs/>
          <w:color w:val="000000"/>
          <w:sz w:val="44"/>
          <w:szCs w:val="44"/>
        </w:rPr>
        <w:t>南斗村农贸市场改造项目支出绩效     自评报告</w:t>
      </w:r>
    </w:p>
    <w:p>
      <w:pPr>
        <w:spacing w:line="576" w:lineRule="exact"/>
        <w:ind w:firstLine="640" w:firstLineChars="200"/>
        <w:jc w:val="left"/>
        <w:rPr>
          <w:rFonts w:ascii="黑体" w:hAnsi="黑体" w:eastAsia="黑体" w:cs="黑体"/>
          <w:color w:val="000000"/>
          <w:sz w:val="32"/>
          <w:szCs w:val="32"/>
        </w:rPr>
      </w:pPr>
    </w:p>
    <w:p>
      <w:pPr>
        <w:spacing w:line="576"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一、项目概况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1、项目名称：广元市昭化区虎跳镇南斗村农贸市场改造</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2、项目建设地址：广元市昭化区虎跳镇南斗村移民安置点</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3、项目业主：广元市昭化区虎跳镇南斗村村民委员会</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4、项目总投资及资金来源：项目总投资19万元，资金来源为昭化区2022年度镇级民生实事项目资金19万元。</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5、建设工期：1个月</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6、建设工期：村民自建</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（一）项目资金申报及批复情况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于2022年4月19日经虎跳镇第二届人民代表大会第二次会议全体代表对2022年度民生实事候选项目采取无记名投票方式产生，编制并上报《虎跳镇南斗村农贸市场改造项目实施方案》（虎府函[2022]69号），2022年8月15日由广元市昭化区发展和改革局批复（昭发改审批[2022]270号）项目不涉及预算调整，符合资金管理办法等相关规定。</w:t>
      </w:r>
    </w:p>
    <w:p>
      <w:pPr>
        <w:spacing w:line="576" w:lineRule="exact"/>
        <w:ind w:firstLine="640" w:firstLineChars="200"/>
        <w:rPr>
          <w:rFonts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（二）项目绩效目标</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主要建设内容及规模：新建遮雨棚375平方、改建摊位24个，已于2022年9月1日开工建设，2022年9月30日竣工，并交付使用。</w:t>
      </w:r>
    </w:p>
    <w:p>
      <w:pPr>
        <w:spacing w:line="576" w:lineRule="exact"/>
        <w:ind w:firstLine="640" w:firstLineChars="200"/>
        <w:rPr>
          <w:rFonts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（三）项目资金申报相符性</w:t>
      </w:r>
    </w:p>
    <w:p>
      <w:pPr>
        <w:spacing w:line="576"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具体实施的相关项目和村民大会审定及向上申报的项目一致，项目都如实实施，可靠合理，不存在任何的违规行为。</w:t>
      </w:r>
    </w:p>
    <w:p>
      <w:pPr>
        <w:spacing w:line="576" w:lineRule="exact"/>
        <w:ind w:firstLine="640" w:firstLineChars="200"/>
        <w:rPr>
          <w:rFonts w:ascii="楷体_GB2312" w:hAnsi="楷体_GB2312" w:eastAsia="楷体_GB2312" w:cs="楷体_GB2312"/>
          <w:sz w:val="32"/>
          <w:szCs w:val="32"/>
          <w:lang w:val="zh-CN"/>
        </w:rPr>
      </w:pPr>
      <w:r>
        <w:rPr>
          <w:rFonts w:hint="eastAsia" w:ascii="楷体_GB2312" w:hAnsi="楷体_GB2312" w:eastAsia="楷体_GB2312" w:cs="楷体_GB2312"/>
          <w:sz w:val="32"/>
          <w:szCs w:val="32"/>
          <w:lang w:val="zh-CN"/>
        </w:rPr>
        <w:t>（四）自评步骤及方法</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南斗村农贸市场改造在本着因地制宜、实事求是的原则，在镇党委、政府的正确领导下，充分结合村情实际，以得天独厚的自然条件发展以特色小水果黄桃为主的产业，融合式发展乡村旅游产业，进行科学谋划、合理布局，科学决策、合理建议，把有限的资金放到急需办的事情上，把解决“发展难、配套差”的问题放在首位，项目建成后，通过百姓走访、村民代表、村组干部实地查看进行了较为科学的评判，项目的建设改善了南斗整村人居环境、商贸物流、特产销售等发展过程中的问题。</w:t>
      </w:r>
    </w:p>
    <w:p>
      <w:pPr>
        <w:spacing w:line="576"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二、项目实施及管理情况</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（一）资金计划、到位及使用情况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1.项目计划财政补助资金19万元，截止目前已到位资金15.2万元，拨付率80%。</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2.项目资金使用：按照项目建设任务，分别予以了人工工资的全额支付以及工程款全额支付。</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（二）项目财务管理</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此项目按照村民自建模式，成立了项目建设理财小组，专款专用，建立台账，做到查有依据。</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（三）项目组织实施及管理情况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建设成立了项目建设理事会、质量监督小组、项目理财小组，做到分工明确，组织有序。召开村民会议，采用三方询价，确立了项目实施各组成人员，并公开公示无异议后进行项目建设。项目建设工程中，质量监督小组全程监控项目建设质量，项目已于2022年9月底竣工，群众满意。</w:t>
      </w:r>
    </w:p>
    <w:p>
      <w:pPr>
        <w:spacing w:line="576"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三、项目绩效情况</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（一）项目完成情况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项目的实施均按照</w:t>
      </w:r>
      <w:r>
        <w:rPr>
          <w:rFonts w:hint="eastAsia" w:ascii="仿宋_GB2312" w:hAnsi="仿宋_GB2312" w:eastAsia="仿宋_GB2312" w:cs="仿宋_GB2312"/>
          <w:sz w:val="32"/>
          <w:szCs w:val="32"/>
        </w:rPr>
        <w:t>村民大会通过的项目实施方案</w:t>
      </w:r>
      <w:r>
        <w:rPr>
          <w:rFonts w:hint="eastAsia" w:ascii="仿宋_GB2312" w:hAnsi="仿宋_GB2312" w:eastAsia="仿宋_GB2312" w:cs="仿宋_GB2312"/>
          <w:sz w:val="32"/>
          <w:szCs w:val="32"/>
          <w:lang w:val="zh-CN"/>
        </w:rPr>
        <w:t>质量</w:t>
      </w:r>
      <w:r>
        <w:rPr>
          <w:rFonts w:hint="eastAsia" w:ascii="仿宋_GB2312" w:hAnsi="仿宋_GB2312" w:eastAsia="仿宋_GB2312" w:cs="仿宋_GB2312"/>
          <w:sz w:val="32"/>
          <w:szCs w:val="32"/>
        </w:rPr>
        <w:t>要求按时</w:t>
      </w:r>
      <w:r>
        <w:rPr>
          <w:rFonts w:hint="eastAsia" w:ascii="仿宋_GB2312" w:hAnsi="仿宋_GB2312" w:eastAsia="仿宋_GB2312" w:cs="仿宋_GB2312"/>
          <w:sz w:val="32"/>
          <w:szCs w:val="32"/>
          <w:lang w:val="zh-CN"/>
        </w:rPr>
        <w:t>完成。</w:t>
      </w:r>
      <w:r>
        <w:rPr>
          <w:rFonts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page">
                  <wp:posOffset>5867400</wp:posOffset>
                </wp:positionH>
                <wp:positionV relativeFrom="paragraph">
                  <wp:posOffset>7950200</wp:posOffset>
                </wp:positionV>
                <wp:extent cx="1333500" cy="215900"/>
                <wp:effectExtent l="0" t="0" r="0" b="0"/>
                <wp:wrapNone/>
                <wp:docPr id="5" name="文本框 5"/>
                <wp:cNvGraphicFramePr/>
                <a:graphic xmlns:a="http://schemas.openxmlformats.org/drawingml/2006/main">
                  <a:graphicData uri="http://schemas.microsoft.com/office/word/2010/wordprocessingShape">
                    <wps:wsp>
                      <wps:cNvSpPr txBox="1"/>
                      <wps:spPr>
                        <a:xfrm>
                          <a:off x="1601470" y="2139315"/>
                          <a:ext cx="2132965" cy="3376295"/>
                        </a:xfrm>
                        <a:prstGeom prst="rect">
                          <a:avLst/>
                        </a:prstGeom>
                        <a:noFill/>
                        <a:ln w="6350">
                          <a:noFill/>
                        </a:ln>
                        <a:effectLst/>
                      </wps:spPr>
                      <wps:txbx>
                        <w:txbxContent>
                          <w:p>
                            <w:pPr>
                              <w:spacing w:line="400" w:lineRule="exact"/>
                              <w:jc w:val="center"/>
                            </w:pPr>
                            <w:r>
                              <w:rPr>
                                <w:rFonts w:hint="eastAsia" w:ascii="Arial" w:hAnsi="Arial" w:eastAsia="Arial"/>
                                <w:color w:val="000000"/>
                                <w:sz w:val="24"/>
                              </w:rPr>
                              <w:t>-19-</w:t>
                            </w:r>
                          </w:p>
                        </w:txbxContent>
                      </wps:txbx>
                      <wps:bodyPr lIns="25400" tIns="0" rIns="25400" bIns="0">
                        <a:noAutofit/>
                      </wps:bodyPr>
                    </wps:wsp>
                  </a:graphicData>
                </a:graphic>
              </wp:anchor>
            </w:drawing>
          </mc:Choice>
          <mc:Fallback>
            <w:pict>
              <v:shape id="_x0000_s1026" o:spid="_x0000_s1026" o:spt="202" type="#_x0000_t202" style="position:absolute;left:0pt;margin-left:462pt;margin-top:626pt;height:17pt;width:105pt;mso-position-horizontal-relative:page;z-index:251662336;mso-width-relative:page;mso-height-relative:page;" filled="f" stroked="f" coordsize="21600,21600" o:gfxdata="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MC/QT2QAAAA4BAAAP&#10;AAAAAAAAAAEAIAAAACIAAABkcnMvZG93bnJldi54bWxQSwECFAAUAAAACACHTuJAAWUO+94BAACs&#10;AwAADgAAAAAAAAABACAAAAAoAQAAZHJzL2Uyb0RvYy54bWxQSwUGAAAAAAYABgBZAQAAeAUAAAAA&#10;">
                <v:fill on="f" focussize="0,0"/>
                <v:stroke on="f" weight="0.5pt"/>
                <v:imagedata o:title=""/>
                <o:lock v:ext="edit" aspectratio="f"/>
                <v:textbox inset="2pt,0mm,2pt,0mm">
                  <w:txbxContent>
                    <w:p>
                      <w:pPr>
                        <w:spacing w:line="400" w:lineRule="exact"/>
                        <w:jc w:val="center"/>
                      </w:pPr>
                      <w:r>
                        <w:rPr>
                          <w:rFonts w:hint="eastAsia" w:ascii="Arial" w:hAnsi="Arial" w:eastAsia="Arial"/>
                          <w:color w:val="000000"/>
                          <w:sz w:val="24"/>
                        </w:rPr>
                        <w:t>-19-</w:t>
                      </w:r>
                    </w:p>
                  </w:txbxContent>
                </v:textbox>
              </v:shape>
            </w:pict>
          </mc:Fallback>
        </mc:AlternateConten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（二）项目效益情况</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项目建成后，通过百姓走访、村民代表、村组干部实地查看进行了较为科学的评判，项目的建设改善了南斗整村人居环境、商贸物流、特产销售等发展过程中的问题。</w:t>
      </w:r>
    </w:p>
    <w:p>
      <w:pPr>
        <w:spacing w:line="576"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四、自评结论及建议</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（一）评价结论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项目建设制定方案报批、项目建设实施工程中，我们很好的完成了项目建设任务。项目各分项值标完成情况良好，自评得分95分。</w:t>
      </w:r>
    </w:p>
    <w:p>
      <w:pPr>
        <w:spacing w:line="576"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（二）存在的问题</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1.项目后期的管理、维护及提级保持，我们还没有现成的经验，还会有一些问题有待解决，如环境卫生管理、日常维护还有待我们去解决何有效保持，持续提升群众生活的幸福指数。</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2.项目后期的利益连接机制也有待于我们去更科学谋划，最大限度的让利与群众，让惠与民生，我们不光要建起来，还要用起来、更重要的是要活起来。</w:t>
      </w:r>
    </w:p>
    <w:p>
      <w:pPr>
        <w:pStyle w:val="9"/>
        <w:ind w:firstLine="640" w:firstLineChars="200"/>
      </w:pPr>
      <w:r>
        <w:rPr>
          <w:rFonts w:hint="eastAsia" w:ascii="楷体_GB2312" w:hAnsi="楷体_GB2312" w:eastAsia="楷体_GB2312" w:cs="楷体_GB2312"/>
          <w:sz w:val="32"/>
          <w:szCs w:val="32"/>
        </w:rPr>
        <w:t>（三）下一步措施</w:t>
      </w:r>
    </w:p>
    <w:p>
      <w:pPr>
        <w:pStyle w:val="9"/>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1.加强该项目的事后监督，加强项目资金的财务核算管理。</w:t>
      </w:r>
    </w:p>
    <w:p>
      <w:pPr>
        <w:pStyle w:val="9"/>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2.完善项目资产管理制度，创新利益联结机制，强化监测评估和绩效评价结果运用。</w:t>
      </w:r>
    </w:p>
    <w:p>
      <w:pPr>
        <w:pStyle w:val="9"/>
        <w:ind w:firstLine="640" w:firstLineChars="200"/>
        <w:rPr>
          <w:rFonts w:ascii="仿宋_GB2312" w:hAnsi="仿宋_GB2312" w:eastAsia="仿宋_GB2312" w:cs="仿宋_GB2312"/>
          <w:sz w:val="32"/>
          <w:szCs w:val="32"/>
        </w:rPr>
      </w:pPr>
    </w:p>
    <w:p>
      <w:pPr>
        <w:pStyle w:val="9"/>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附件：广元市昭化区虎跳镇南斗村农贸市场改造项目支出绩效自评表</w:t>
      </w:r>
    </w:p>
    <w:p>
      <w:pPr>
        <w:pStyle w:val="9"/>
        <w:ind w:firstLine="640" w:firstLineChars="200"/>
        <w:rPr>
          <w:rFonts w:ascii="仿宋_GB2312" w:hAnsi="仿宋_GB2312" w:eastAsia="仿宋_GB2312" w:cs="仿宋_GB2312"/>
          <w:sz w:val="32"/>
          <w:szCs w:val="32"/>
        </w:rPr>
      </w:pPr>
    </w:p>
    <w:p>
      <w:pPr>
        <w:pStyle w:val="9"/>
        <w:ind w:firstLine="640" w:firstLineChars="200"/>
        <w:rPr>
          <w:rFonts w:ascii="仿宋_GB2312" w:hAnsi="仿宋_GB2312" w:eastAsia="仿宋_GB2312" w:cs="仿宋_GB2312"/>
          <w:sz w:val="32"/>
          <w:szCs w:val="32"/>
        </w:rPr>
      </w:pPr>
    </w:p>
    <w:p>
      <w:pPr>
        <w:pStyle w:val="9"/>
        <w:wordWrap w:val="0"/>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9"/>
        <w:rPr>
          <w:rFonts w:ascii="仿宋_GB2312" w:hAnsi="仿宋_GB2312" w:eastAsia="仿宋_GB2312" w:cs="仿宋_GB2312"/>
          <w:sz w:val="32"/>
          <w:szCs w:val="32"/>
        </w:rPr>
      </w:pPr>
    </w:p>
    <w:p>
      <w:pPr>
        <w:spacing w:line="480" w:lineRule="exact"/>
        <w:rPr>
          <w:rFonts w:ascii="黑体" w:hAnsi="黑体" w:eastAsia="黑体" w:cs="黑体"/>
          <w:bCs/>
          <w:color w:val="000000"/>
          <w:sz w:val="32"/>
          <w:szCs w:val="32"/>
        </w:rPr>
      </w:pPr>
    </w:p>
    <w:p>
      <w:pPr>
        <w:spacing w:line="480" w:lineRule="exact"/>
        <w:rPr>
          <w:rFonts w:ascii="黑体" w:hAnsi="黑体" w:eastAsia="黑体" w:cs="黑体"/>
          <w:bCs/>
          <w:color w:val="000000"/>
          <w:sz w:val="32"/>
          <w:szCs w:val="32"/>
        </w:rPr>
      </w:pPr>
    </w:p>
    <w:p>
      <w:pPr>
        <w:spacing w:line="480" w:lineRule="exact"/>
        <w:rPr>
          <w:rFonts w:ascii="黑体" w:hAnsi="黑体" w:eastAsia="黑体" w:cs="黑体"/>
          <w:bCs/>
          <w:color w:val="000000"/>
          <w:sz w:val="32"/>
          <w:szCs w:val="32"/>
        </w:rPr>
      </w:pPr>
    </w:p>
    <w:p>
      <w:pPr>
        <w:spacing w:line="480" w:lineRule="exact"/>
        <w:rPr>
          <w:rFonts w:ascii="黑体" w:hAnsi="黑体" w:eastAsia="黑体" w:cs="黑体"/>
          <w:bCs/>
          <w:color w:val="000000"/>
          <w:sz w:val="32"/>
          <w:szCs w:val="32"/>
        </w:rPr>
      </w:pPr>
    </w:p>
    <w:p>
      <w:pPr>
        <w:spacing w:line="480" w:lineRule="exact"/>
        <w:rPr>
          <w:rFonts w:ascii="黑体" w:hAnsi="黑体" w:eastAsia="黑体" w:cs="黑体"/>
          <w:bCs/>
          <w:color w:val="000000"/>
          <w:sz w:val="32"/>
          <w:szCs w:val="32"/>
        </w:rPr>
      </w:pPr>
      <w:r>
        <w:rPr>
          <w:rFonts w:hint="eastAsia" w:ascii="黑体" w:hAnsi="黑体" w:eastAsia="黑体" w:cs="黑体"/>
          <w:bCs/>
          <w:color w:val="000000"/>
          <w:sz w:val="32"/>
          <w:szCs w:val="32"/>
        </w:rPr>
        <w:t>附件</w:t>
      </w:r>
    </w:p>
    <w:p>
      <w:pPr>
        <w:spacing w:line="480" w:lineRule="exact"/>
        <w:jc w:val="center"/>
      </w:pPr>
      <w:r>
        <w:rPr>
          <w:rFonts w:hint="eastAsia" w:ascii="宋体" w:hAnsi="宋体" w:eastAsia="宋体"/>
          <w:b/>
          <w:color w:val="000000"/>
          <w:sz w:val="34"/>
        </w:rPr>
        <w:t>广元市昭化区财政项目支出绩效自评表</w:t>
      </w:r>
    </w:p>
    <w:p>
      <w:pPr>
        <w:spacing w:after="100" w:line="300" w:lineRule="exact"/>
        <w:jc w:val="center"/>
      </w:pPr>
      <w:r>
        <w:rPr>
          <w:rFonts w:hint="eastAsia" w:ascii="宋体" w:hAnsi="宋体" w:eastAsia="宋体"/>
          <w:color w:val="000000"/>
          <w:sz w:val="22"/>
        </w:rPr>
        <w:t>（2022年度）</w:t>
      </w:r>
    </w:p>
    <w:tbl>
      <w:tblPr>
        <w:tblStyle w:val="18"/>
        <w:tblW w:w="9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825"/>
        <w:gridCol w:w="902"/>
        <w:gridCol w:w="1018"/>
        <w:gridCol w:w="977"/>
        <w:gridCol w:w="1201"/>
        <w:gridCol w:w="1434"/>
        <w:gridCol w:w="1395"/>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jc w:val="center"/>
        </w:trPr>
        <w:tc>
          <w:tcPr>
            <w:tcW w:w="1727" w:type="dxa"/>
            <w:gridSpan w:val="2"/>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项目（政策）名称</w:t>
            </w:r>
          </w:p>
        </w:tc>
        <w:tc>
          <w:tcPr>
            <w:tcW w:w="8083" w:type="dxa"/>
            <w:gridSpan w:val="6"/>
            <w:vAlign w:val="center"/>
          </w:tcPr>
          <w:p>
            <w:pPr>
              <w:jc w:val="center"/>
              <w:rPr>
                <w:rFonts w:ascii="宋体" w:hAnsi="宋体" w:eastAsia="宋体" w:cs="宋体"/>
                <w:sz w:val="18"/>
                <w:szCs w:val="18"/>
              </w:rPr>
            </w:pPr>
            <w:r>
              <w:rPr>
                <w:rFonts w:hint="eastAsia" w:ascii="宋体" w:hAnsi="宋体" w:eastAsia="宋体" w:cs="宋体"/>
                <w:sz w:val="18"/>
                <w:szCs w:val="18"/>
              </w:rPr>
              <w:t>广元市昭化区虎跳镇南斗村农贸市场改造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0" w:hRule="atLeast"/>
          <w:jc w:val="center"/>
        </w:trPr>
        <w:tc>
          <w:tcPr>
            <w:tcW w:w="1727" w:type="dxa"/>
            <w:gridSpan w:val="2"/>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主管部门</w:t>
            </w:r>
          </w:p>
        </w:tc>
        <w:tc>
          <w:tcPr>
            <w:tcW w:w="4630" w:type="dxa"/>
            <w:gridSpan w:val="4"/>
            <w:vAlign w:val="center"/>
          </w:tcPr>
          <w:p>
            <w:pPr>
              <w:jc w:val="center"/>
              <w:rPr>
                <w:rFonts w:ascii="宋体" w:hAnsi="宋体" w:eastAsia="宋体" w:cs="宋体"/>
                <w:sz w:val="18"/>
                <w:szCs w:val="18"/>
              </w:rPr>
            </w:pPr>
            <w:r>
              <w:rPr>
                <w:rFonts w:hint="eastAsia" w:ascii="宋体" w:hAnsi="宋体" w:eastAsia="宋体" w:cs="宋体"/>
                <w:sz w:val="18"/>
                <w:szCs w:val="18"/>
              </w:rPr>
              <w:t>昭化区虎跳镇人民政府</w:t>
            </w:r>
          </w:p>
        </w:tc>
        <w:tc>
          <w:tcPr>
            <w:tcW w:w="1395" w:type="dxa"/>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实施单位</w:t>
            </w:r>
          </w:p>
        </w:tc>
        <w:tc>
          <w:tcPr>
            <w:tcW w:w="2058" w:type="dxa"/>
            <w:vAlign w:val="center"/>
          </w:tcPr>
          <w:p>
            <w:pPr>
              <w:jc w:val="center"/>
              <w:rPr>
                <w:rFonts w:ascii="宋体" w:hAnsi="宋体" w:eastAsia="宋体" w:cs="宋体"/>
                <w:sz w:val="18"/>
                <w:szCs w:val="18"/>
              </w:rPr>
            </w:pPr>
            <w:r>
              <w:rPr>
                <w:rFonts w:hint="eastAsia" w:ascii="宋体" w:hAnsi="宋体" w:eastAsia="宋体" w:cs="宋体"/>
                <w:sz w:val="18"/>
                <w:szCs w:val="18"/>
              </w:rPr>
              <w:t>昭化区虎跳镇人民政府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2" w:hRule="atLeast"/>
          <w:jc w:val="center"/>
        </w:trPr>
        <w:tc>
          <w:tcPr>
            <w:tcW w:w="1727" w:type="dxa"/>
            <w:gridSpan w:val="2"/>
            <w:vMerge w:val="restart"/>
          </w:tcPr>
          <w:p>
            <w:pPr>
              <w:spacing w:before="1090" w:line="262" w:lineRule="exact"/>
              <w:ind w:left="60"/>
              <w:jc w:val="left"/>
              <w:rPr>
                <w:rFonts w:ascii="宋体" w:hAnsi="宋体" w:eastAsia="宋体" w:cs="宋体"/>
                <w:sz w:val="18"/>
                <w:szCs w:val="18"/>
              </w:rPr>
            </w:pPr>
            <w:r>
              <w:rPr>
                <w:rFonts w:hint="eastAsia" w:ascii="宋体" w:hAnsi="宋体" w:eastAsia="宋体" w:cs="宋体"/>
                <w:color w:val="000000"/>
                <w:sz w:val="18"/>
                <w:szCs w:val="18"/>
              </w:rPr>
              <w:t>项目（政策）资金</w:t>
            </w:r>
          </w:p>
          <w:p>
            <w:pPr>
              <w:spacing w:line="237" w:lineRule="exact"/>
              <w:jc w:val="center"/>
              <w:rPr>
                <w:rFonts w:ascii="宋体" w:hAnsi="宋体" w:eastAsia="宋体" w:cs="宋体"/>
                <w:sz w:val="18"/>
                <w:szCs w:val="18"/>
              </w:rPr>
            </w:pPr>
            <w:r>
              <w:rPr>
                <w:rFonts w:hint="eastAsia" w:ascii="宋体" w:hAnsi="宋体" w:eastAsia="宋体" w:cs="宋体"/>
                <w:color w:val="000000"/>
                <w:sz w:val="18"/>
                <w:szCs w:val="18"/>
              </w:rPr>
              <w:t>（万元）</w:t>
            </w:r>
          </w:p>
        </w:tc>
        <w:tc>
          <w:tcPr>
            <w:tcW w:w="1995" w:type="dxa"/>
            <w:gridSpan w:val="2"/>
            <w:vAlign w:val="center"/>
          </w:tcPr>
          <w:p>
            <w:pPr>
              <w:rPr>
                <w:rFonts w:ascii="宋体" w:hAnsi="宋体" w:eastAsia="宋体" w:cs="宋体"/>
                <w:sz w:val="18"/>
                <w:szCs w:val="18"/>
              </w:rPr>
            </w:pPr>
          </w:p>
        </w:tc>
        <w:tc>
          <w:tcPr>
            <w:tcW w:w="1201" w:type="dxa"/>
            <w:vAlign w:val="center"/>
          </w:tcPr>
          <w:p>
            <w:pPr>
              <w:spacing w:line="180" w:lineRule="exact"/>
              <w:jc w:val="center"/>
              <w:rPr>
                <w:rFonts w:ascii="宋体" w:hAnsi="宋体" w:eastAsia="宋体" w:cs="宋体"/>
                <w:sz w:val="18"/>
                <w:szCs w:val="18"/>
              </w:rPr>
            </w:pPr>
            <w:r>
              <w:rPr>
                <w:rFonts w:hint="eastAsia" w:ascii="宋体" w:hAnsi="宋体" w:eastAsia="宋体" w:cs="宋体"/>
                <w:color w:val="000000"/>
                <w:sz w:val="18"/>
                <w:szCs w:val="18"/>
              </w:rPr>
              <w:t>年初预算数</w:t>
            </w:r>
          </w:p>
        </w:tc>
        <w:tc>
          <w:tcPr>
            <w:tcW w:w="1434" w:type="dxa"/>
            <w:vAlign w:val="center"/>
          </w:tcPr>
          <w:p>
            <w:pPr>
              <w:spacing w:line="180" w:lineRule="exact"/>
              <w:jc w:val="center"/>
              <w:rPr>
                <w:rFonts w:ascii="宋体" w:hAnsi="宋体" w:eastAsia="宋体" w:cs="宋体"/>
                <w:sz w:val="18"/>
                <w:szCs w:val="18"/>
              </w:rPr>
            </w:pPr>
            <w:r>
              <w:rPr>
                <w:rFonts w:hint="eastAsia" w:ascii="宋体" w:hAnsi="宋体" w:eastAsia="宋体" w:cs="宋体"/>
                <w:color w:val="000000"/>
                <w:sz w:val="18"/>
                <w:szCs w:val="18"/>
              </w:rPr>
              <w:t>全年预算数</w:t>
            </w:r>
          </w:p>
        </w:tc>
        <w:tc>
          <w:tcPr>
            <w:tcW w:w="1395" w:type="dxa"/>
            <w:vAlign w:val="center"/>
          </w:tcPr>
          <w:p>
            <w:pPr>
              <w:spacing w:line="180" w:lineRule="exact"/>
              <w:jc w:val="center"/>
              <w:rPr>
                <w:rFonts w:ascii="宋体" w:hAnsi="宋体" w:eastAsia="宋体" w:cs="宋体"/>
                <w:sz w:val="18"/>
                <w:szCs w:val="18"/>
              </w:rPr>
            </w:pPr>
            <w:r>
              <w:rPr>
                <w:rFonts w:hint="eastAsia" w:ascii="宋体" w:hAnsi="宋体" w:eastAsia="宋体" w:cs="宋体"/>
                <w:color w:val="000000"/>
                <w:sz w:val="18"/>
                <w:szCs w:val="18"/>
              </w:rPr>
              <w:t>全年执行数</w:t>
            </w:r>
          </w:p>
        </w:tc>
        <w:tc>
          <w:tcPr>
            <w:tcW w:w="2058" w:type="dxa"/>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2" w:hRule="atLeast"/>
          <w:jc w:val="center"/>
        </w:trPr>
        <w:tc>
          <w:tcPr>
            <w:tcW w:w="1727" w:type="dxa"/>
            <w:gridSpan w:val="2"/>
            <w:vMerge w:val="continue"/>
          </w:tcPr>
          <w:p>
            <w:pPr>
              <w:rPr>
                <w:rFonts w:ascii="宋体" w:hAnsi="宋体" w:eastAsia="宋体" w:cs="宋体"/>
                <w:sz w:val="18"/>
                <w:szCs w:val="18"/>
              </w:rPr>
            </w:pPr>
          </w:p>
        </w:tc>
        <w:tc>
          <w:tcPr>
            <w:tcW w:w="1995" w:type="dxa"/>
            <w:gridSpan w:val="2"/>
            <w:vAlign w:val="center"/>
          </w:tcPr>
          <w:p>
            <w:pPr>
              <w:spacing w:line="180" w:lineRule="exact"/>
              <w:ind w:left="40"/>
              <w:jc w:val="left"/>
              <w:rPr>
                <w:rFonts w:ascii="宋体" w:hAnsi="宋体" w:eastAsia="宋体" w:cs="宋体"/>
                <w:sz w:val="18"/>
                <w:szCs w:val="18"/>
              </w:rPr>
            </w:pPr>
            <w:r>
              <w:rPr>
                <w:rFonts w:hint="eastAsia" w:ascii="宋体" w:hAnsi="宋体" w:eastAsia="宋体" w:cs="宋体"/>
                <w:color w:val="000000"/>
                <w:sz w:val="18"/>
                <w:szCs w:val="18"/>
              </w:rPr>
              <w:t>年度资金总额</w:t>
            </w:r>
          </w:p>
        </w:tc>
        <w:tc>
          <w:tcPr>
            <w:tcW w:w="1201" w:type="dxa"/>
            <w:vAlign w:val="center"/>
          </w:tcPr>
          <w:p>
            <w:pPr>
              <w:jc w:val="center"/>
              <w:rPr>
                <w:rFonts w:ascii="宋体" w:hAnsi="宋体" w:eastAsia="宋体" w:cs="宋体"/>
                <w:sz w:val="18"/>
                <w:szCs w:val="18"/>
              </w:rPr>
            </w:pPr>
            <w:r>
              <w:rPr>
                <w:rFonts w:hint="eastAsia" w:ascii="宋体" w:hAnsi="宋体" w:eastAsia="宋体" w:cs="宋体"/>
                <w:sz w:val="18"/>
                <w:szCs w:val="18"/>
              </w:rPr>
              <w:t>19</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19</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19</w:t>
            </w:r>
          </w:p>
        </w:tc>
        <w:tc>
          <w:tcPr>
            <w:tcW w:w="2058"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2" w:hRule="atLeast"/>
          <w:jc w:val="center"/>
        </w:trPr>
        <w:tc>
          <w:tcPr>
            <w:tcW w:w="1727" w:type="dxa"/>
            <w:gridSpan w:val="2"/>
            <w:vMerge w:val="continue"/>
          </w:tcPr>
          <w:p>
            <w:pPr>
              <w:rPr>
                <w:rFonts w:ascii="宋体" w:hAnsi="宋体" w:eastAsia="宋体" w:cs="宋体"/>
                <w:sz w:val="18"/>
                <w:szCs w:val="18"/>
              </w:rPr>
            </w:pPr>
          </w:p>
        </w:tc>
        <w:tc>
          <w:tcPr>
            <w:tcW w:w="1995" w:type="dxa"/>
            <w:gridSpan w:val="2"/>
            <w:vAlign w:val="center"/>
          </w:tcPr>
          <w:p>
            <w:pPr>
              <w:spacing w:line="195" w:lineRule="exact"/>
              <w:ind w:left="100"/>
              <w:jc w:val="left"/>
              <w:rPr>
                <w:rFonts w:ascii="宋体" w:hAnsi="宋体" w:eastAsia="宋体" w:cs="宋体"/>
                <w:sz w:val="18"/>
                <w:szCs w:val="18"/>
              </w:rPr>
            </w:pPr>
            <w:r>
              <w:rPr>
                <w:rFonts w:hint="eastAsia" w:ascii="宋体" w:hAnsi="宋体" w:eastAsia="宋体" w:cs="宋体"/>
                <w:color w:val="000000"/>
                <w:sz w:val="18"/>
                <w:szCs w:val="18"/>
              </w:rPr>
              <w:t>（一）财政拨款小计</w:t>
            </w:r>
          </w:p>
        </w:tc>
        <w:tc>
          <w:tcPr>
            <w:tcW w:w="1201" w:type="dxa"/>
            <w:vAlign w:val="center"/>
          </w:tcPr>
          <w:p>
            <w:pPr>
              <w:jc w:val="center"/>
              <w:rPr>
                <w:rFonts w:ascii="宋体" w:hAnsi="宋体" w:eastAsia="宋体" w:cs="宋体"/>
                <w:sz w:val="18"/>
                <w:szCs w:val="18"/>
              </w:rPr>
            </w:pPr>
            <w:r>
              <w:rPr>
                <w:rFonts w:hint="eastAsia" w:ascii="宋体" w:hAnsi="宋体" w:eastAsia="宋体" w:cs="宋体"/>
                <w:sz w:val="18"/>
                <w:szCs w:val="18"/>
              </w:rPr>
              <w:t>19</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19</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19</w:t>
            </w:r>
          </w:p>
        </w:tc>
        <w:tc>
          <w:tcPr>
            <w:tcW w:w="2058"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2" w:hRule="atLeast"/>
          <w:jc w:val="center"/>
        </w:trPr>
        <w:tc>
          <w:tcPr>
            <w:tcW w:w="1727" w:type="dxa"/>
            <w:gridSpan w:val="2"/>
            <w:vMerge w:val="continue"/>
          </w:tcPr>
          <w:p>
            <w:pPr>
              <w:rPr>
                <w:rFonts w:ascii="宋体" w:hAnsi="宋体" w:eastAsia="宋体" w:cs="宋体"/>
                <w:sz w:val="18"/>
                <w:szCs w:val="18"/>
              </w:rPr>
            </w:pPr>
          </w:p>
        </w:tc>
        <w:tc>
          <w:tcPr>
            <w:tcW w:w="1995" w:type="dxa"/>
            <w:gridSpan w:val="2"/>
            <w:vAlign w:val="center"/>
          </w:tcPr>
          <w:p>
            <w:pPr>
              <w:spacing w:line="195" w:lineRule="exact"/>
              <w:ind w:firstLine="180" w:firstLineChars="100"/>
              <w:rPr>
                <w:rFonts w:ascii="宋体" w:hAnsi="宋体" w:eastAsia="宋体" w:cs="宋体"/>
                <w:sz w:val="18"/>
                <w:szCs w:val="18"/>
              </w:rPr>
            </w:pPr>
            <w:r>
              <w:rPr>
                <w:rFonts w:hint="eastAsia" w:ascii="宋体" w:hAnsi="宋体" w:eastAsia="宋体" w:cs="宋体"/>
                <w:color w:val="000000"/>
                <w:sz w:val="18"/>
                <w:szCs w:val="18"/>
              </w:rPr>
              <w:t>1．一般公共预算</w:t>
            </w:r>
          </w:p>
        </w:tc>
        <w:tc>
          <w:tcPr>
            <w:tcW w:w="1201" w:type="dxa"/>
            <w:vAlign w:val="center"/>
          </w:tcPr>
          <w:p>
            <w:pPr>
              <w:jc w:val="center"/>
              <w:rPr>
                <w:rFonts w:ascii="宋体" w:hAnsi="宋体" w:eastAsia="宋体" w:cs="宋体"/>
                <w:sz w:val="18"/>
                <w:szCs w:val="18"/>
              </w:rPr>
            </w:pPr>
            <w:r>
              <w:rPr>
                <w:rFonts w:hint="eastAsia" w:ascii="宋体" w:hAnsi="宋体" w:eastAsia="宋体" w:cs="宋体"/>
                <w:sz w:val="18"/>
                <w:szCs w:val="18"/>
              </w:rPr>
              <w:t>19</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19</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19</w:t>
            </w:r>
          </w:p>
        </w:tc>
        <w:tc>
          <w:tcPr>
            <w:tcW w:w="2058"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2" w:hRule="atLeast"/>
          <w:jc w:val="center"/>
        </w:trPr>
        <w:tc>
          <w:tcPr>
            <w:tcW w:w="1727" w:type="dxa"/>
            <w:gridSpan w:val="2"/>
            <w:vMerge w:val="continue"/>
          </w:tcPr>
          <w:p>
            <w:pPr>
              <w:rPr>
                <w:rFonts w:ascii="宋体" w:hAnsi="宋体" w:eastAsia="宋体" w:cs="宋体"/>
                <w:sz w:val="18"/>
                <w:szCs w:val="18"/>
              </w:rPr>
            </w:pPr>
          </w:p>
        </w:tc>
        <w:tc>
          <w:tcPr>
            <w:tcW w:w="1995" w:type="dxa"/>
            <w:gridSpan w:val="2"/>
            <w:vAlign w:val="center"/>
          </w:tcPr>
          <w:p>
            <w:pPr>
              <w:spacing w:line="195" w:lineRule="exact"/>
              <w:ind w:firstLine="180" w:firstLineChars="100"/>
              <w:rPr>
                <w:rFonts w:ascii="宋体" w:hAnsi="宋体" w:eastAsia="宋体" w:cs="宋体"/>
                <w:sz w:val="18"/>
                <w:szCs w:val="18"/>
              </w:rPr>
            </w:pPr>
            <w:r>
              <w:rPr>
                <w:rFonts w:hint="eastAsia" w:ascii="宋体" w:hAnsi="宋体" w:eastAsia="宋体" w:cs="宋体"/>
                <w:color w:val="000000"/>
                <w:sz w:val="18"/>
                <w:szCs w:val="18"/>
              </w:rPr>
              <w:t>2．政府性基金</w:t>
            </w:r>
          </w:p>
        </w:tc>
        <w:tc>
          <w:tcPr>
            <w:tcW w:w="1201" w:type="dxa"/>
            <w:vAlign w:val="center"/>
          </w:tcPr>
          <w:p>
            <w:pPr>
              <w:jc w:val="center"/>
              <w:rPr>
                <w:rFonts w:ascii="宋体" w:hAnsi="宋体" w:eastAsia="宋体" w:cs="宋体"/>
                <w:sz w:val="18"/>
                <w:szCs w:val="18"/>
              </w:rPr>
            </w:pPr>
          </w:p>
        </w:tc>
        <w:tc>
          <w:tcPr>
            <w:tcW w:w="1434" w:type="dxa"/>
            <w:vAlign w:val="center"/>
          </w:tcPr>
          <w:p>
            <w:pPr>
              <w:jc w:val="center"/>
              <w:rPr>
                <w:rFonts w:ascii="宋体" w:hAnsi="宋体" w:eastAsia="宋体" w:cs="宋体"/>
                <w:sz w:val="18"/>
                <w:szCs w:val="18"/>
              </w:rPr>
            </w:pPr>
          </w:p>
        </w:tc>
        <w:tc>
          <w:tcPr>
            <w:tcW w:w="1395" w:type="dxa"/>
            <w:vAlign w:val="center"/>
          </w:tcPr>
          <w:p>
            <w:pPr>
              <w:jc w:val="center"/>
              <w:rPr>
                <w:rFonts w:ascii="宋体" w:hAnsi="宋体" w:eastAsia="宋体" w:cs="宋体"/>
                <w:sz w:val="18"/>
                <w:szCs w:val="18"/>
              </w:rPr>
            </w:pP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0" w:hRule="atLeast"/>
          <w:jc w:val="center"/>
        </w:trPr>
        <w:tc>
          <w:tcPr>
            <w:tcW w:w="1727" w:type="dxa"/>
            <w:gridSpan w:val="2"/>
            <w:vMerge w:val="continue"/>
          </w:tcPr>
          <w:p>
            <w:pPr>
              <w:rPr>
                <w:rFonts w:ascii="宋体" w:hAnsi="宋体" w:eastAsia="宋体" w:cs="宋体"/>
                <w:sz w:val="18"/>
                <w:szCs w:val="18"/>
              </w:rPr>
            </w:pPr>
          </w:p>
        </w:tc>
        <w:tc>
          <w:tcPr>
            <w:tcW w:w="1995" w:type="dxa"/>
            <w:gridSpan w:val="2"/>
            <w:vAlign w:val="center"/>
          </w:tcPr>
          <w:p>
            <w:pPr>
              <w:spacing w:line="195" w:lineRule="exact"/>
              <w:ind w:firstLine="180" w:firstLineChars="100"/>
              <w:rPr>
                <w:rFonts w:ascii="宋体" w:hAnsi="宋体" w:eastAsia="宋体" w:cs="宋体"/>
                <w:sz w:val="18"/>
                <w:szCs w:val="18"/>
              </w:rPr>
            </w:pPr>
            <w:r>
              <w:rPr>
                <w:rFonts w:hint="eastAsia" w:ascii="宋体" w:hAnsi="宋体" w:eastAsia="宋体" w:cs="宋体"/>
                <w:color w:val="000000"/>
                <w:sz w:val="18"/>
                <w:szCs w:val="18"/>
              </w:rPr>
              <w:t>3．国有资本经营预算</w:t>
            </w:r>
          </w:p>
        </w:tc>
        <w:tc>
          <w:tcPr>
            <w:tcW w:w="1201" w:type="dxa"/>
            <w:vAlign w:val="center"/>
          </w:tcPr>
          <w:p>
            <w:pPr>
              <w:jc w:val="center"/>
              <w:rPr>
                <w:rFonts w:ascii="宋体" w:hAnsi="宋体" w:eastAsia="宋体" w:cs="宋体"/>
                <w:sz w:val="18"/>
                <w:szCs w:val="18"/>
              </w:rPr>
            </w:pPr>
          </w:p>
        </w:tc>
        <w:tc>
          <w:tcPr>
            <w:tcW w:w="1434" w:type="dxa"/>
            <w:vAlign w:val="center"/>
          </w:tcPr>
          <w:p>
            <w:pPr>
              <w:jc w:val="center"/>
              <w:rPr>
                <w:rFonts w:ascii="宋体" w:hAnsi="宋体" w:eastAsia="宋体" w:cs="宋体"/>
                <w:sz w:val="18"/>
                <w:szCs w:val="18"/>
              </w:rPr>
            </w:pPr>
          </w:p>
        </w:tc>
        <w:tc>
          <w:tcPr>
            <w:tcW w:w="1395" w:type="dxa"/>
            <w:vAlign w:val="center"/>
          </w:tcPr>
          <w:p>
            <w:pPr>
              <w:jc w:val="center"/>
              <w:rPr>
                <w:rFonts w:ascii="宋体" w:hAnsi="宋体" w:eastAsia="宋体" w:cs="宋体"/>
                <w:sz w:val="18"/>
                <w:szCs w:val="18"/>
              </w:rPr>
            </w:pP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2" w:hRule="atLeast"/>
          <w:jc w:val="center"/>
        </w:trPr>
        <w:tc>
          <w:tcPr>
            <w:tcW w:w="1727" w:type="dxa"/>
            <w:gridSpan w:val="2"/>
            <w:vMerge w:val="continue"/>
          </w:tcPr>
          <w:p>
            <w:pPr>
              <w:rPr>
                <w:rFonts w:ascii="宋体" w:hAnsi="宋体" w:eastAsia="宋体" w:cs="宋体"/>
                <w:sz w:val="18"/>
                <w:szCs w:val="18"/>
              </w:rPr>
            </w:pPr>
          </w:p>
        </w:tc>
        <w:tc>
          <w:tcPr>
            <w:tcW w:w="1995" w:type="dxa"/>
            <w:gridSpan w:val="2"/>
            <w:vAlign w:val="center"/>
          </w:tcPr>
          <w:p>
            <w:pPr>
              <w:spacing w:line="195" w:lineRule="exact"/>
              <w:ind w:firstLine="180" w:firstLineChars="100"/>
              <w:rPr>
                <w:rFonts w:ascii="宋体" w:hAnsi="宋体" w:eastAsia="宋体" w:cs="宋体"/>
                <w:sz w:val="18"/>
                <w:szCs w:val="18"/>
              </w:rPr>
            </w:pPr>
            <w:r>
              <w:rPr>
                <w:rFonts w:hint="eastAsia" w:ascii="宋体" w:hAnsi="宋体" w:eastAsia="宋体" w:cs="宋体"/>
                <w:color w:val="000000"/>
                <w:sz w:val="18"/>
                <w:szCs w:val="18"/>
              </w:rPr>
              <w:t>4．社保基金</w:t>
            </w:r>
          </w:p>
        </w:tc>
        <w:tc>
          <w:tcPr>
            <w:tcW w:w="1201" w:type="dxa"/>
            <w:vAlign w:val="center"/>
          </w:tcPr>
          <w:p>
            <w:pPr>
              <w:jc w:val="center"/>
              <w:rPr>
                <w:rFonts w:ascii="宋体" w:hAnsi="宋体" w:eastAsia="宋体" w:cs="宋体"/>
                <w:sz w:val="18"/>
                <w:szCs w:val="18"/>
              </w:rPr>
            </w:pPr>
          </w:p>
        </w:tc>
        <w:tc>
          <w:tcPr>
            <w:tcW w:w="1434" w:type="dxa"/>
            <w:vAlign w:val="center"/>
          </w:tcPr>
          <w:p>
            <w:pPr>
              <w:jc w:val="center"/>
              <w:rPr>
                <w:rFonts w:ascii="宋体" w:hAnsi="宋体" w:eastAsia="宋体" w:cs="宋体"/>
                <w:sz w:val="18"/>
                <w:szCs w:val="18"/>
              </w:rPr>
            </w:pPr>
          </w:p>
        </w:tc>
        <w:tc>
          <w:tcPr>
            <w:tcW w:w="1395" w:type="dxa"/>
            <w:vAlign w:val="center"/>
          </w:tcPr>
          <w:p>
            <w:pPr>
              <w:jc w:val="center"/>
              <w:rPr>
                <w:rFonts w:ascii="宋体" w:hAnsi="宋体" w:eastAsia="宋体" w:cs="宋体"/>
                <w:sz w:val="18"/>
                <w:szCs w:val="18"/>
              </w:rPr>
            </w:pP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82" w:hRule="atLeast"/>
          <w:jc w:val="center"/>
        </w:trPr>
        <w:tc>
          <w:tcPr>
            <w:tcW w:w="1727" w:type="dxa"/>
            <w:gridSpan w:val="2"/>
            <w:vMerge w:val="continue"/>
          </w:tcPr>
          <w:p>
            <w:pPr>
              <w:rPr>
                <w:rFonts w:ascii="宋体" w:hAnsi="宋体" w:eastAsia="宋体" w:cs="宋体"/>
                <w:sz w:val="18"/>
                <w:szCs w:val="18"/>
              </w:rPr>
            </w:pPr>
          </w:p>
        </w:tc>
        <w:tc>
          <w:tcPr>
            <w:tcW w:w="1995" w:type="dxa"/>
            <w:gridSpan w:val="2"/>
            <w:vAlign w:val="center"/>
          </w:tcPr>
          <w:p>
            <w:pPr>
              <w:spacing w:line="210" w:lineRule="exact"/>
              <w:ind w:left="60"/>
              <w:jc w:val="left"/>
              <w:rPr>
                <w:rFonts w:ascii="宋体" w:hAnsi="宋体" w:eastAsia="宋体" w:cs="宋体"/>
                <w:sz w:val="18"/>
                <w:szCs w:val="18"/>
              </w:rPr>
            </w:pPr>
            <w:r>
              <w:rPr>
                <w:rFonts w:hint="eastAsia" w:ascii="宋体" w:hAnsi="宋体" w:eastAsia="宋体" w:cs="宋体"/>
                <w:color w:val="000000"/>
                <w:sz w:val="18"/>
                <w:szCs w:val="18"/>
              </w:rPr>
              <w:t>（二）其他资金</w:t>
            </w:r>
          </w:p>
        </w:tc>
        <w:tc>
          <w:tcPr>
            <w:tcW w:w="1201" w:type="dxa"/>
            <w:vAlign w:val="center"/>
          </w:tcPr>
          <w:p>
            <w:pPr>
              <w:jc w:val="center"/>
              <w:rPr>
                <w:rFonts w:ascii="宋体" w:hAnsi="宋体" w:eastAsia="宋体" w:cs="宋体"/>
                <w:sz w:val="18"/>
                <w:szCs w:val="18"/>
              </w:rPr>
            </w:pPr>
          </w:p>
        </w:tc>
        <w:tc>
          <w:tcPr>
            <w:tcW w:w="1434" w:type="dxa"/>
            <w:vAlign w:val="center"/>
          </w:tcPr>
          <w:p>
            <w:pPr>
              <w:jc w:val="center"/>
              <w:rPr>
                <w:rFonts w:ascii="宋体" w:hAnsi="宋体" w:eastAsia="宋体" w:cs="宋体"/>
                <w:sz w:val="18"/>
                <w:szCs w:val="18"/>
              </w:rPr>
            </w:pPr>
          </w:p>
        </w:tc>
        <w:tc>
          <w:tcPr>
            <w:tcW w:w="1395" w:type="dxa"/>
            <w:vAlign w:val="center"/>
          </w:tcPr>
          <w:p>
            <w:pPr>
              <w:jc w:val="center"/>
              <w:rPr>
                <w:rFonts w:ascii="宋体" w:hAnsi="宋体" w:eastAsia="宋体" w:cs="宋体"/>
                <w:sz w:val="18"/>
                <w:szCs w:val="18"/>
              </w:rPr>
            </w:pP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0" w:hRule="atLeast"/>
          <w:jc w:val="center"/>
        </w:trPr>
        <w:tc>
          <w:tcPr>
            <w:tcW w:w="825" w:type="dxa"/>
            <w:vMerge w:val="restart"/>
          </w:tcPr>
          <w:p>
            <w:pPr>
              <w:spacing w:before="381" w:line="200" w:lineRule="exact"/>
              <w:jc w:val="center"/>
              <w:rPr>
                <w:rFonts w:ascii="宋体" w:hAnsi="宋体" w:eastAsia="宋体" w:cs="宋体"/>
                <w:sz w:val="18"/>
                <w:szCs w:val="18"/>
              </w:rPr>
            </w:pPr>
            <w:r>
              <w:rPr>
                <w:rFonts w:hint="eastAsia" w:ascii="宋体" w:hAnsi="宋体" w:eastAsia="宋体" w:cs="宋体"/>
                <w:color w:val="000000"/>
                <w:sz w:val="18"/>
                <w:szCs w:val="18"/>
              </w:rPr>
              <w:t>年度总体目标</w:t>
            </w:r>
          </w:p>
        </w:tc>
        <w:tc>
          <w:tcPr>
            <w:tcW w:w="6927" w:type="dxa"/>
            <w:gridSpan w:val="6"/>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预期目标</w:t>
            </w:r>
          </w:p>
        </w:tc>
        <w:tc>
          <w:tcPr>
            <w:tcW w:w="2058" w:type="dxa"/>
            <w:vAlign w:val="center"/>
          </w:tcPr>
          <w:p>
            <w:pPr>
              <w:jc w:val="center"/>
              <w:rPr>
                <w:rFonts w:ascii="宋体" w:hAnsi="宋体" w:eastAsia="宋体" w:cs="宋体"/>
                <w:sz w:val="18"/>
                <w:szCs w:val="18"/>
              </w:rPr>
            </w:pPr>
            <w:r>
              <w:rPr>
                <w:rFonts w:hint="eastAsia" w:ascii="宋体" w:hAnsi="宋体" w:eastAsia="宋体" w:cs="宋体"/>
                <w:sz w:val="18"/>
                <w:szCs w:val="18"/>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38" w:hRule="atLeast"/>
          <w:jc w:val="center"/>
        </w:trPr>
        <w:tc>
          <w:tcPr>
            <w:tcW w:w="825" w:type="dxa"/>
            <w:vMerge w:val="continue"/>
          </w:tcPr>
          <w:p>
            <w:pPr>
              <w:rPr>
                <w:rFonts w:ascii="宋体" w:hAnsi="宋体" w:eastAsia="宋体" w:cs="宋体"/>
                <w:sz w:val="18"/>
                <w:szCs w:val="18"/>
              </w:rPr>
            </w:pPr>
          </w:p>
        </w:tc>
        <w:tc>
          <w:tcPr>
            <w:tcW w:w="6927" w:type="dxa"/>
            <w:gridSpan w:val="6"/>
            <w:vAlign w:val="center"/>
          </w:tcPr>
          <w:p>
            <w:pPr>
              <w:rPr>
                <w:rFonts w:ascii="宋体" w:hAnsi="宋体" w:eastAsia="宋体" w:cs="宋体"/>
                <w:sz w:val="18"/>
                <w:szCs w:val="18"/>
              </w:rPr>
            </w:pPr>
            <w:r>
              <w:rPr>
                <w:rFonts w:hint="eastAsia" w:ascii="宋体" w:hAnsi="宋体" w:eastAsia="宋体" w:cs="宋体"/>
                <w:sz w:val="18"/>
                <w:szCs w:val="18"/>
              </w:rPr>
              <w:t>新建遮雨棚375平方、改建摊位24个，改善人居环境，群众满意度达到95%及以上。</w:t>
            </w:r>
          </w:p>
        </w:tc>
        <w:tc>
          <w:tcPr>
            <w:tcW w:w="2058" w:type="dxa"/>
            <w:vAlign w:val="center"/>
          </w:tcPr>
          <w:p>
            <w:pPr>
              <w:rPr>
                <w:rFonts w:ascii="宋体" w:hAnsi="宋体" w:eastAsia="宋体" w:cs="宋体"/>
                <w:sz w:val="18"/>
                <w:szCs w:val="18"/>
              </w:rPr>
            </w:pPr>
            <w:r>
              <w:rPr>
                <w:rFonts w:hint="eastAsia" w:ascii="宋体" w:hAnsi="宋体" w:eastAsia="宋体" w:cs="宋体"/>
                <w:sz w:val="18"/>
                <w:szCs w:val="18"/>
              </w:rPr>
              <w:t>完成新建遮雨棚375平方、改建摊位24个，改善人居环境，群众满意度达到95%及以上。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0" w:hRule="atLeast"/>
          <w:jc w:val="center"/>
        </w:trPr>
        <w:tc>
          <w:tcPr>
            <w:tcW w:w="825" w:type="dxa"/>
            <w:vMerge w:val="restart"/>
            <w:vAlign w:val="center"/>
          </w:tcPr>
          <w:p>
            <w:pPr>
              <w:jc w:val="center"/>
              <w:rPr>
                <w:rFonts w:ascii="宋体" w:hAnsi="宋体" w:eastAsia="宋体" w:cs="宋体"/>
                <w:sz w:val="18"/>
                <w:szCs w:val="18"/>
              </w:rPr>
            </w:pPr>
            <w:r>
              <w:rPr>
                <w:rFonts w:hint="eastAsia" w:ascii="宋体" w:hAnsi="宋体" w:eastAsia="宋体" w:cs="宋体"/>
                <w:color w:val="000000"/>
                <w:sz w:val="18"/>
                <w:szCs w:val="18"/>
              </w:rPr>
              <w:t>绩效指标</w:t>
            </w:r>
          </w:p>
        </w:tc>
        <w:tc>
          <w:tcPr>
            <w:tcW w:w="902" w:type="dxa"/>
            <w:vAlign w:val="center"/>
          </w:tcPr>
          <w:p>
            <w:pPr>
              <w:spacing w:line="210" w:lineRule="exact"/>
              <w:ind w:left="20"/>
              <w:jc w:val="left"/>
              <w:rPr>
                <w:rFonts w:ascii="宋体" w:hAnsi="宋体" w:eastAsia="宋体" w:cs="宋体"/>
                <w:sz w:val="18"/>
                <w:szCs w:val="18"/>
              </w:rPr>
            </w:pPr>
            <w:r>
              <w:rPr>
                <w:rFonts w:hint="eastAsia" w:ascii="宋体" w:hAnsi="宋体" w:eastAsia="宋体" w:cs="宋体"/>
                <w:color w:val="000000"/>
                <w:sz w:val="18"/>
                <w:szCs w:val="18"/>
              </w:rPr>
              <w:t>一级指标</w:t>
            </w:r>
          </w:p>
        </w:tc>
        <w:tc>
          <w:tcPr>
            <w:tcW w:w="1018" w:type="dxa"/>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二级指标</w:t>
            </w:r>
          </w:p>
        </w:tc>
        <w:tc>
          <w:tcPr>
            <w:tcW w:w="2178" w:type="dxa"/>
            <w:gridSpan w:val="2"/>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三级指标</w:t>
            </w:r>
          </w:p>
        </w:tc>
        <w:tc>
          <w:tcPr>
            <w:tcW w:w="1434" w:type="dxa"/>
            <w:vAlign w:val="center"/>
          </w:tcPr>
          <w:p>
            <w:pPr>
              <w:spacing w:line="180" w:lineRule="exact"/>
              <w:jc w:val="center"/>
              <w:rPr>
                <w:rFonts w:ascii="宋体" w:hAnsi="宋体" w:eastAsia="宋体" w:cs="宋体"/>
                <w:sz w:val="18"/>
                <w:szCs w:val="18"/>
              </w:rPr>
            </w:pPr>
            <w:r>
              <w:rPr>
                <w:rFonts w:hint="eastAsia" w:ascii="宋体" w:hAnsi="宋体" w:eastAsia="宋体" w:cs="宋体"/>
                <w:color w:val="000000"/>
                <w:sz w:val="18"/>
                <w:szCs w:val="18"/>
              </w:rPr>
              <w:t>年度指标值</w:t>
            </w:r>
          </w:p>
        </w:tc>
        <w:tc>
          <w:tcPr>
            <w:tcW w:w="1395" w:type="dxa"/>
            <w:vAlign w:val="center"/>
          </w:tcPr>
          <w:p>
            <w:pPr>
              <w:spacing w:line="180" w:lineRule="exact"/>
              <w:jc w:val="center"/>
              <w:rPr>
                <w:rFonts w:ascii="宋体" w:hAnsi="宋体" w:eastAsia="宋体" w:cs="宋体"/>
                <w:sz w:val="18"/>
                <w:szCs w:val="18"/>
              </w:rPr>
            </w:pPr>
            <w:r>
              <w:rPr>
                <w:rFonts w:hint="eastAsia" w:ascii="宋体" w:hAnsi="宋体" w:eastAsia="宋体" w:cs="宋体"/>
                <w:color w:val="000000"/>
                <w:sz w:val="18"/>
                <w:szCs w:val="18"/>
              </w:rPr>
              <w:t>实际完成值</w:t>
            </w:r>
          </w:p>
        </w:tc>
        <w:tc>
          <w:tcPr>
            <w:tcW w:w="2058" w:type="dxa"/>
          </w:tcPr>
          <w:p>
            <w:pPr>
              <w:spacing w:before="52" w:line="154" w:lineRule="exact"/>
              <w:ind w:left="20"/>
              <w:jc w:val="left"/>
              <w:rPr>
                <w:rFonts w:ascii="宋体" w:hAnsi="宋体" w:eastAsia="宋体" w:cs="宋体"/>
                <w:sz w:val="18"/>
                <w:szCs w:val="18"/>
              </w:rPr>
            </w:pPr>
            <w:r>
              <w:rPr>
                <w:rFonts w:hint="eastAsia" w:ascii="宋体" w:hAnsi="宋体" w:eastAsia="宋体" w:cs="宋体"/>
                <w:color w:val="000000"/>
                <w:sz w:val="18"/>
                <w:szCs w:val="18"/>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2" w:hRule="atLeast"/>
          <w:jc w:val="center"/>
        </w:trPr>
        <w:tc>
          <w:tcPr>
            <w:tcW w:w="825" w:type="dxa"/>
            <w:vMerge w:val="continue"/>
          </w:tcPr>
          <w:p>
            <w:pPr>
              <w:rPr>
                <w:rFonts w:ascii="宋体" w:hAnsi="宋体" w:eastAsia="宋体" w:cs="宋体"/>
                <w:sz w:val="18"/>
                <w:szCs w:val="18"/>
              </w:rPr>
            </w:pPr>
          </w:p>
        </w:tc>
        <w:tc>
          <w:tcPr>
            <w:tcW w:w="902" w:type="dxa"/>
            <w:vMerge w:val="restart"/>
            <w:vAlign w:val="center"/>
          </w:tcPr>
          <w:p>
            <w:pPr>
              <w:jc w:val="center"/>
              <w:rPr>
                <w:rFonts w:ascii="宋体" w:hAnsi="宋体" w:eastAsia="宋体" w:cs="宋体"/>
                <w:sz w:val="18"/>
                <w:szCs w:val="18"/>
              </w:rPr>
            </w:pPr>
            <w:r>
              <w:rPr>
                <w:rFonts w:hint="eastAsia" w:ascii="宋体" w:hAnsi="宋体" w:eastAsia="宋体" w:cs="宋体"/>
                <w:color w:val="000000"/>
                <w:sz w:val="18"/>
                <w:szCs w:val="18"/>
              </w:rPr>
              <w:t>产出指标</w:t>
            </w:r>
          </w:p>
        </w:tc>
        <w:tc>
          <w:tcPr>
            <w:tcW w:w="1018" w:type="dxa"/>
            <w:vMerge w:val="restart"/>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数量指标</w:t>
            </w:r>
          </w:p>
        </w:tc>
        <w:tc>
          <w:tcPr>
            <w:tcW w:w="2178" w:type="dxa"/>
            <w:gridSpan w:val="2"/>
            <w:vAlign w:val="center"/>
          </w:tcPr>
          <w:p>
            <w:pPr>
              <w:spacing w:line="210" w:lineRule="exact"/>
              <w:ind w:left="200"/>
              <w:rPr>
                <w:rFonts w:ascii="宋体" w:hAnsi="宋体" w:eastAsia="宋体" w:cs="宋体"/>
                <w:sz w:val="18"/>
                <w:szCs w:val="18"/>
              </w:rPr>
            </w:pPr>
            <w:r>
              <w:rPr>
                <w:rFonts w:hint="eastAsia" w:ascii="宋体" w:hAnsi="宋体" w:eastAsia="宋体" w:cs="宋体"/>
                <w:color w:val="000000"/>
                <w:sz w:val="18"/>
                <w:szCs w:val="18"/>
              </w:rPr>
              <w:t>新建遮雨棚面积（平方）</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375</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375</w:t>
            </w: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2" w:hRule="atLeast"/>
          <w:jc w:val="center"/>
        </w:trPr>
        <w:tc>
          <w:tcPr>
            <w:tcW w:w="825" w:type="dxa"/>
            <w:vMerge w:val="continue"/>
          </w:tcPr>
          <w:p>
            <w:pPr>
              <w:rPr>
                <w:rFonts w:ascii="宋体" w:hAnsi="宋体" w:eastAsia="宋体" w:cs="宋体"/>
                <w:sz w:val="18"/>
                <w:szCs w:val="18"/>
              </w:rPr>
            </w:pPr>
          </w:p>
        </w:tc>
        <w:tc>
          <w:tcPr>
            <w:tcW w:w="902" w:type="dxa"/>
            <w:vMerge w:val="continue"/>
            <w:vAlign w:val="center"/>
          </w:tcPr>
          <w:p>
            <w:pPr>
              <w:jc w:val="center"/>
              <w:rPr>
                <w:rFonts w:ascii="宋体" w:hAnsi="宋体" w:eastAsia="宋体" w:cs="宋体"/>
                <w:sz w:val="18"/>
                <w:szCs w:val="18"/>
              </w:rPr>
            </w:pPr>
          </w:p>
        </w:tc>
        <w:tc>
          <w:tcPr>
            <w:tcW w:w="1018" w:type="dxa"/>
            <w:vMerge w:val="continue"/>
            <w:vAlign w:val="center"/>
          </w:tcPr>
          <w:p>
            <w:pPr>
              <w:jc w:val="center"/>
              <w:rPr>
                <w:rFonts w:ascii="宋体" w:hAnsi="宋体" w:eastAsia="宋体" w:cs="宋体"/>
                <w:sz w:val="18"/>
                <w:szCs w:val="18"/>
              </w:rPr>
            </w:pPr>
          </w:p>
        </w:tc>
        <w:tc>
          <w:tcPr>
            <w:tcW w:w="2178" w:type="dxa"/>
            <w:gridSpan w:val="2"/>
            <w:vAlign w:val="center"/>
          </w:tcPr>
          <w:p>
            <w:pPr>
              <w:spacing w:line="210" w:lineRule="exact"/>
              <w:ind w:left="220"/>
              <w:rPr>
                <w:rFonts w:ascii="宋体" w:hAnsi="宋体" w:eastAsia="宋体" w:cs="宋体"/>
                <w:sz w:val="18"/>
                <w:szCs w:val="18"/>
              </w:rPr>
            </w:pPr>
            <w:r>
              <w:rPr>
                <w:rFonts w:hint="eastAsia" w:ascii="宋体" w:hAnsi="宋体" w:eastAsia="宋体" w:cs="宋体"/>
                <w:color w:val="000000"/>
                <w:sz w:val="18"/>
                <w:szCs w:val="18"/>
              </w:rPr>
              <w:t>改建摊位（个）</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24</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24</w:t>
            </w: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2" w:hRule="atLeast"/>
          <w:jc w:val="center"/>
        </w:trPr>
        <w:tc>
          <w:tcPr>
            <w:tcW w:w="825" w:type="dxa"/>
            <w:vMerge w:val="continue"/>
          </w:tcPr>
          <w:p>
            <w:pPr>
              <w:rPr>
                <w:rFonts w:ascii="宋体" w:hAnsi="宋体" w:eastAsia="宋体" w:cs="宋体"/>
                <w:sz w:val="18"/>
                <w:szCs w:val="18"/>
              </w:rPr>
            </w:pPr>
          </w:p>
        </w:tc>
        <w:tc>
          <w:tcPr>
            <w:tcW w:w="902" w:type="dxa"/>
            <w:vMerge w:val="continue"/>
            <w:vAlign w:val="center"/>
          </w:tcPr>
          <w:p>
            <w:pPr>
              <w:jc w:val="center"/>
              <w:rPr>
                <w:rFonts w:ascii="宋体" w:hAnsi="宋体" w:eastAsia="宋体" w:cs="宋体"/>
                <w:sz w:val="18"/>
                <w:szCs w:val="18"/>
              </w:rPr>
            </w:pPr>
          </w:p>
        </w:tc>
        <w:tc>
          <w:tcPr>
            <w:tcW w:w="1018" w:type="dxa"/>
            <w:vAlign w:val="center"/>
          </w:tcPr>
          <w:p>
            <w:pPr>
              <w:jc w:val="center"/>
              <w:rPr>
                <w:rFonts w:ascii="宋体" w:hAnsi="宋体" w:eastAsia="宋体" w:cs="宋体"/>
                <w:sz w:val="18"/>
                <w:szCs w:val="18"/>
              </w:rPr>
            </w:pPr>
            <w:r>
              <w:rPr>
                <w:rFonts w:hint="eastAsia" w:ascii="宋体" w:hAnsi="宋体" w:eastAsia="宋体" w:cs="宋体"/>
                <w:color w:val="000000"/>
                <w:sz w:val="18"/>
                <w:szCs w:val="18"/>
              </w:rPr>
              <w:t>质量指标</w:t>
            </w:r>
          </w:p>
        </w:tc>
        <w:tc>
          <w:tcPr>
            <w:tcW w:w="2178" w:type="dxa"/>
            <w:gridSpan w:val="2"/>
            <w:vAlign w:val="center"/>
          </w:tcPr>
          <w:p>
            <w:pPr>
              <w:spacing w:line="210" w:lineRule="exact"/>
              <w:ind w:left="220"/>
              <w:rPr>
                <w:rFonts w:ascii="宋体" w:hAnsi="宋体" w:eastAsia="宋体" w:cs="宋体"/>
                <w:sz w:val="18"/>
                <w:szCs w:val="18"/>
              </w:rPr>
            </w:pPr>
            <w:r>
              <w:rPr>
                <w:rFonts w:hint="eastAsia" w:ascii="宋体" w:hAnsi="宋体" w:eastAsia="宋体" w:cs="宋体"/>
                <w:color w:val="000000"/>
                <w:sz w:val="18"/>
                <w:szCs w:val="18"/>
              </w:rPr>
              <w:t>项目验收合格率</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2" w:hRule="atLeast"/>
          <w:jc w:val="center"/>
        </w:trPr>
        <w:tc>
          <w:tcPr>
            <w:tcW w:w="825" w:type="dxa"/>
            <w:vMerge w:val="continue"/>
          </w:tcPr>
          <w:p>
            <w:pPr>
              <w:rPr>
                <w:rFonts w:ascii="宋体" w:hAnsi="宋体" w:eastAsia="宋体" w:cs="宋体"/>
                <w:sz w:val="18"/>
                <w:szCs w:val="18"/>
              </w:rPr>
            </w:pPr>
          </w:p>
        </w:tc>
        <w:tc>
          <w:tcPr>
            <w:tcW w:w="902" w:type="dxa"/>
            <w:vMerge w:val="continue"/>
            <w:vAlign w:val="center"/>
          </w:tcPr>
          <w:p>
            <w:pPr>
              <w:jc w:val="center"/>
              <w:rPr>
                <w:rFonts w:ascii="宋体" w:hAnsi="宋体" w:eastAsia="宋体" w:cs="宋体"/>
                <w:sz w:val="18"/>
                <w:szCs w:val="18"/>
              </w:rPr>
            </w:pPr>
          </w:p>
        </w:tc>
        <w:tc>
          <w:tcPr>
            <w:tcW w:w="1018" w:type="dxa"/>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时效指标</w:t>
            </w:r>
          </w:p>
        </w:tc>
        <w:tc>
          <w:tcPr>
            <w:tcW w:w="2178" w:type="dxa"/>
            <w:gridSpan w:val="2"/>
            <w:vAlign w:val="center"/>
          </w:tcPr>
          <w:p>
            <w:pPr>
              <w:spacing w:line="210" w:lineRule="exact"/>
              <w:ind w:left="220"/>
              <w:rPr>
                <w:rFonts w:ascii="宋体" w:hAnsi="宋体" w:eastAsia="宋体" w:cs="宋体"/>
                <w:sz w:val="18"/>
                <w:szCs w:val="18"/>
              </w:rPr>
            </w:pPr>
            <w:r>
              <w:rPr>
                <w:rFonts w:hint="eastAsia" w:ascii="宋体" w:hAnsi="宋体" w:eastAsia="宋体" w:cs="宋体"/>
                <w:color w:val="000000"/>
                <w:sz w:val="18"/>
                <w:szCs w:val="18"/>
              </w:rPr>
              <w:t>项目完成及时率</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2" w:hRule="atLeast"/>
          <w:jc w:val="center"/>
        </w:trPr>
        <w:tc>
          <w:tcPr>
            <w:tcW w:w="825" w:type="dxa"/>
            <w:vMerge w:val="continue"/>
          </w:tcPr>
          <w:p>
            <w:pPr>
              <w:rPr>
                <w:rFonts w:ascii="宋体" w:hAnsi="宋体" w:eastAsia="宋体" w:cs="宋体"/>
                <w:sz w:val="18"/>
                <w:szCs w:val="18"/>
              </w:rPr>
            </w:pPr>
          </w:p>
        </w:tc>
        <w:tc>
          <w:tcPr>
            <w:tcW w:w="902" w:type="dxa"/>
            <w:vMerge w:val="continue"/>
            <w:vAlign w:val="center"/>
          </w:tcPr>
          <w:p>
            <w:pPr>
              <w:jc w:val="center"/>
              <w:rPr>
                <w:rFonts w:ascii="宋体" w:hAnsi="宋体" w:eastAsia="宋体" w:cs="宋体"/>
                <w:sz w:val="18"/>
                <w:szCs w:val="18"/>
              </w:rPr>
            </w:pPr>
          </w:p>
        </w:tc>
        <w:tc>
          <w:tcPr>
            <w:tcW w:w="1018" w:type="dxa"/>
            <w:vAlign w:val="center"/>
          </w:tcPr>
          <w:p>
            <w:pPr>
              <w:spacing w:line="210" w:lineRule="exact"/>
              <w:jc w:val="center"/>
              <w:rPr>
                <w:rFonts w:ascii="宋体" w:hAnsi="宋体" w:eastAsia="宋体" w:cs="宋体"/>
                <w:sz w:val="18"/>
                <w:szCs w:val="18"/>
              </w:rPr>
            </w:pPr>
            <w:r>
              <w:rPr>
                <w:rFonts w:hint="eastAsia" w:ascii="宋体" w:hAnsi="宋体" w:eastAsia="宋体" w:cs="宋体"/>
                <w:color w:val="000000"/>
                <w:sz w:val="18"/>
                <w:szCs w:val="18"/>
              </w:rPr>
              <w:t>成本指标</w:t>
            </w:r>
          </w:p>
        </w:tc>
        <w:tc>
          <w:tcPr>
            <w:tcW w:w="2178" w:type="dxa"/>
            <w:gridSpan w:val="2"/>
            <w:vAlign w:val="center"/>
          </w:tcPr>
          <w:p>
            <w:pPr>
              <w:spacing w:line="210" w:lineRule="exact"/>
              <w:ind w:left="200"/>
              <w:rPr>
                <w:rFonts w:ascii="宋体" w:hAnsi="宋体" w:eastAsia="宋体" w:cs="宋体"/>
                <w:sz w:val="18"/>
                <w:szCs w:val="18"/>
              </w:rPr>
            </w:pPr>
            <w:r>
              <w:rPr>
                <w:rFonts w:hint="eastAsia" w:ascii="宋体" w:hAnsi="宋体" w:eastAsia="宋体" w:cs="宋体"/>
                <w:color w:val="000000"/>
                <w:sz w:val="18"/>
                <w:szCs w:val="18"/>
              </w:rPr>
              <w:t>项目资金（万元）</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19</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19</w:t>
            </w: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0" w:hRule="atLeast"/>
          <w:jc w:val="center"/>
        </w:trPr>
        <w:tc>
          <w:tcPr>
            <w:tcW w:w="825" w:type="dxa"/>
            <w:vMerge w:val="continue"/>
          </w:tcPr>
          <w:p>
            <w:pPr>
              <w:rPr>
                <w:rFonts w:ascii="宋体" w:hAnsi="宋体" w:eastAsia="宋体" w:cs="宋体"/>
                <w:sz w:val="18"/>
                <w:szCs w:val="18"/>
              </w:rPr>
            </w:pPr>
          </w:p>
        </w:tc>
        <w:tc>
          <w:tcPr>
            <w:tcW w:w="902" w:type="dxa"/>
            <w:vMerge w:val="restart"/>
            <w:vAlign w:val="center"/>
          </w:tcPr>
          <w:p>
            <w:pPr>
              <w:jc w:val="center"/>
              <w:rPr>
                <w:rFonts w:ascii="宋体" w:hAnsi="宋体" w:eastAsia="宋体" w:cs="宋体"/>
                <w:sz w:val="18"/>
                <w:szCs w:val="18"/>
              </w:rPr>
            </w:pPr>
            <w:r>
              <w:rPr>
                <w:rFonts w:hint="eastAsia" w:ascii="宋体" w:hAnsi="宋体" w:eastAsia="宋体" w:cs="宋体"/>
                <w:color w:val="000000"/>
                <w:sz w:val="18"/>
                <w:szCs w:val="18"/>
              </w:rPr>
              <w:t>效益指标</w:t>
            </w:r>
          </w:p>
        </w:tc>
        <w:tc>
          <w:tcPr>
            <w:tcW w:w="1018" w:type="dxa"/>
            <w:vAlign w:val="center"/>
          </w:tcPr>
          <w:p>
            <w:pPr>
              <w:spacing w:before="174" w:line="186" w:lineRule="exact"/>
              <w:jc w:val="center"/>
              <w:rPr>
                <w:rFonts w:ascii="宋体" w:hAnsi="宋体" w:eastAsia="宋体" w:cs="宋体"/>
                <w:sz w:val="18"/>
                <w:szCs w:val="18"/>
              </w:rPr>
            </w:pPr>
            <w:r>
              <w:rPr>
                <w:rFonts w:hint="eastAsia" w:ascii="宋体" w:hAnsi="宋体" w:eastAsia="宋体" w:cs="宋体"/>
                <w:color w:val="000000"/>
                <w:sz w:val="18"/>
                <w:szCs w:val="18"/>
              </w:rPr>
              <w:t>社会效益</w:t>
            </w:r>
          </w:p>
          <w:p>
            <w:pPr>
              <w:spacing w:line="175" w:lineRule="exact"/>
              <w:jc w:val="center"/>
              <w:rPr>
                <w:rFonts w:ascii="宋体" w:hAnsi="宋体" w:eastAsia="宋体" w:cs="宋体"/>
                <w:sz w:val="18"/>
                <w:szCs w:val="18"/>
              </w:rPr>
            </w:pPr>
            <w:r>
              <w:rPr>
                <w:rFonts w:hint="eastAsia" w:ascii="宋体" w:hAnsi="宋体" w:eastAsia="宋体" w:cs="宋体"/>
                <w:color w:val="000000"/>
                <w:sz w:val="18"/>
                <w:szCs w:val="18"/>
              </w:rPr>
              <w:t>指标</w:t>
            </w:r>
          </w:p>
        </w:tc>
        <w:tc>
          <w:tcPr>
            <w:tcW w:w="2178" w:type="dxa"/>
            <w:gridSpan w:val="2"/>
            <w:vAlign w:val="center"/>
          </w:tcPr>
          <w:p>
            <w:pPr>
              <w:spacing w:line="210" w:lineRule="exact"/>
              <w:ind w:left="200"/>
              <w:rPr>
                <w:rFonts w:ascii="宋体" w:hAnsi="宋体" w:eastAsia="宋体" w:cs="宋体"/>
                <w:sz w:val="18"/>
                <w:szCs w:val="18"/>
              </w:rPr>
            </w:pPr>
            <w:r>
              <w:rPr>
                <w:rFonts w:hint="eastAsia" w:ascii="宋体" w:hAnsi="宋体" w:eastAsia="宋体" w:cs="宋体"/>
                <w:color w:val="000000"/>
                <w:sz w:val="18"/>
                <w:szCs w:val="18"/>
              </w:rPr>
              <w:t>居民幸福指数提升</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提升</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提升</w:t>
            </w: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3" w:hRule="atLeast"/>
          <w:jc w:val="center"/>
        </w:trPr>
        <w:tc>
          <w:tcPr>
            <w:tcW w:w="825" w:type="dxa"/>
            <w:vMerge w:val="continue"/>
          </w:tcPr>
          <w:p>
            <w:pPr>
              <w:rPr>
                <w:rFonts w:ascii="宋体" w:hAnsi="宋体" w:eastAsia="宋体" w:cs="宋体"/>
                <w:sz w:val="18"/>
                <w:szCs w:val="18"/>
              </w:rPr>
            </w:pPr>
          </w:p>
        </w:tc>
        <w:tc>
          <w:tcPr>
            <w:tcW w:w="902" w:type="dxa"/>
            <w:vMerge w:val="continue"/>
          </w:tcPr>
          <w:p>
            <w:pPr>
              <w:rPr>
                <w:rFonts w:ascii="宋体" w:hAnsi="宋体" w:eastAsia="宋体" w:cs="宋体"/>
                <w:sz w:val="18"/>
                <w:szCs w:val="18"/>
              </w:rPr>
            </w:pPr>
          </w:p>
        </w:tc>
        <w:tc>
          <w:tcPr>
            <w:tcW w:w="1018" w:type="dxa"/>
            <w:vAlign w:val="center"/>
          </w:tcPr>
          <w:p>
            <w:pPr>
              <w:spacing w:before="58" w:line="168" w:lineRule="exact"/>
              <w:jc w:val="center"/>
              <w:rPr>
                <w:rFonts w:ascii="宋体" w:hAnsi="宋体" w:eastAsia="宋体" w:cs="宋体"/>
                <w:sz w:val="18"/>
                <w:szCs w:val="18"/>
              </w:rPr>
            </w:pPr>
            <w:r>
              <w:rPr>
                <w:rFonts w:hint="eastAsia" w:ascii="宋体" w:hAnsi="宋体" w:eastAsia="宋体" w:cs="宋体"/>
                <w:color w:val="000000"/>
                <w:sz w:val="18"/>
                <w:szCs w:val="18"/>
              </w:rPr>
              <w:t>生态效益</w:t>
            </w:r>
          </w:p>
          <w:p>
            <w:pPr>
              <w:spacing w:line="157" w:lineRule="exact"/>
              <w:jc w:val="center"/>
              <w:rPr>
                <w:rFonts w:ascii="宋体" w:hAnsi="宋体" w:eastAsia="宋体" w:cs="宋体"/>
                <w:sz w:val="18"/>
                <w:szCs w:val="18"/>
              </w:rPr>
            </w:pPr>
            <w:r>
              <w:rPr>
                <w:rFonts w:hint="eastAsia" w:ascii="宋体" w:hAnsi="宋体" w:eastAsia="宋体" w:cs="宋体"/>
                <w:color w:val="000000"/>
                <w:sz w:val="18"/>
                <w:szCs w:val="18"/>
              </w:rPr>
              <w:t>指标</w:t>
            </w:r>
          </w:p>
        </w:tc>
        <w:tc>
          <w:tcPr>
            <w:tcW w:w="2178" w:type="dxa"/>
            <w:gridSpan w:val="2"/>
            <w:vAlign w:val="center"/>
          </w:tcPr>
          <w:p>
            <w:pPr>
              <w:spacing w:line="210" w:lineRule="exact"/>
              <w:ind w:left="200"/>
              <w:rPr>
                <w:rFonts w:ascii="宋体" w:hAnsi="宋体" w:eastAsia="宋体" w:cs="宋体"/>
                <w:sz w:val="18"/>
                <w:szCs w:val="18"/>
              </w:rPr>
            </w:pPr>
            <w:r>
              <w:rPr>
                <w:rFonts w:hint="eastAsia" w:ascii="宋体" w:hAnsi="宋体" w:eastAsia="宋体" w:cs="宋体"/>
                <w:color w:val="000000"/>
                <w:sz w:val="18"/>
                <w:szCs w:val="18"/>
              </w:rPr>
              <w:t>人居环境改善</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改善</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改善</w:t>
            </w: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0" w:hRule="atLeast"/>
          <w:jc w:val="center"/>
        </w:trPr>
        <w:tc>
          <w:tcPr>
            <w:tcW w:w="825" w:type="dxa"/>
            <w:vMerge w:val="continue"/>
          </w:tcPr>
          <w:p>
            <w:pPr>
              <w:rPr>
                <w:rFonts w:ascii="宋体" w:hAnsi="宋体" w:eastAsia="宋体" w:cs="宋体"/>
                <w:sz w:val="18"/>
                <w:szCs w:val="18"/>
              </w:rPr>
            </w:pPr>
          </w:p>
        </w:tc>
        <w:tc>
          <w:tcPr>
            <w:tcW w:w="902" w:type="dxa"/>
            <w:vMerge w:val="continue"/>
          </w:tcPr>
          <w:p>
            <w:pPr>
              <w:rPr>
                <w:rFonts w:ascii="宋体" w:hAnsi="宋体" w:eastAsia="宋体" w:cs="宋体"/>
                <w:sz w:val="18"/>
                <w:szCs w:val="18"/>
              </w:rPr>
            </w:pPr>
          </w:p>
        </w:tc>
        <w:tc>
          <w:tcPr>
            <w:tcW w:w="1018" w:type="dxa"/>
          </w:tcPr>
          <w:p>
            <w:pPr>
              <w:spacing w:before="197" w:line="180" w:lineRule="exact"/>
              <w:jc w:val="center"/>
              <w:rPr>
                <w:rFonts w:ascii="宋体" w:hAnsi="宋体" w:eastAsia="宋体" w:cs="宋体"/>
                <w:sz w:val="18"/>
                <w:szCs w:val="18"/>
              </w:rPr>
            </w:pPr>
            <w:r>
              <w:rPr>
                <w:rFonts w:hint="eastAsia" w:ascii="宋体" w:hAnsi="宋体" w:eastAsia="宋体" w:cs="宋体"/>
                <w:color w:val="000000"/>
                <w:sz w:val="18"/>
                <w:szCs w:val="18"/>
              </w:rPr>
              <w:t>可持续影响指标</w:t>
            </w:r>
          </w:p>
        </w:tc>
        <w:tc>
          <w:tcPr>
            <w:tcW w:w="2178" w:type="dxa"/>
            <w:gridSpan w:val="2"/>
            <w:vAlign w:val="center"/>
          </w:tcPr>
          <w:p>
            <w:pPr>
              <w:spacing w:line="210" w:lineRule="exact"/>
              <w:ind w:left="220"/>
              <w:rPr>
                <w:rFonts w:ascii="宋体" w:hAnsi="宋体" w:eastAsia="宋体" w:cs="宋体"/>
                <w:sz w:val="18"/>
                <w:szCs w:val="18"/>
              </w:rPr>
            </w:pPr>
            <w:r>
              <w:rPr>
                <w:rFonts w:hint="eastAsia" w:ascii="宋体" w:hAnsi="宋体" w:eastAsia="宋体" w:cs="宋体"/>
                <w:color w:val="000000"/>
                <w:sz w:val="18"/>
                <w:szCs w:val="18"/>
              </w:rPr>
              <w:t>项目持续发挥作用年限</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≥5年</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5年</w:t>
            </w:r>
          </w:p>
        </w:tc>
        <w:tc>
          <w:tcPr>
            <w:tcW w:w="2058" w:type="dxa"/>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0" w:hRule="atLeast"/>
          <w:jc w:val="center"/>
        </w:trPr>
        <w:tc>
          <w:tcPr>
            <w:tcW w:w="825" w:type="dxa"/>
            <w:vMerge w:val="continue"/>
          </w:tcPr>
          <w:p>
            <w:pPr>
              <w:rPr>
                <w:rFonts w:ascii="宋体" w:hAnsi="宋体" w:eastAsia="宋体" w:cs="宋体"/>
                <w:sz w:val="18"/>
                <w:szCs w:val="18"/>
              </w:rPr>
            </w:pPr>
          </w:p>
        </w:tc>
        <w:tc>
          <w:tcPr>
            <w:tcW w:w="902" w:type="dxa"/>
          </w:tcPr>
          <w:p>
            <w:pPr>
              <w:spacing w:before="124" w:line="168" w:lineRule="exact"/>
              <w:jc w:val="center"/>
              <w:rPr>
                <w:rFonts w:ascii="宋体" w:hAnsi="宋体" w:eastAsia="宋体" w:cs="宋体"/>
                <w:sz w:val="18"/>
                <w:szCs w:val="18"/>
              </w:rPr>
            </w:pPr>
            <w:r>
              <w:rPr>
                <w:rFonts w:hint="eastAsia" w:ascii="宋体" w:hAnsi="宋体" w:eastAsia="宋体" w:cs="宋体"/>
                <w:color w:val="000000"/>
                <w:sz w:val="18"/>
                <w:szCs w:val="18"/>
              </w:rPr>
              <w:t>满意度</w:t>
            </w:r>
          </w:p>
          <w:p>
            <w:pPr>
              <w:spacing w:line="157" w:lineRule="exact"/>
              <w:jc w:val="center"/>
              <w:rPr>
                <w:rFonts w:ascii="宋体" w:hAnsi="宋体" w:eastAsia="宋体" w:cs="宋体"/>
                <w:sz w:val="18"/>
                <w:szCs w:val="18"/>
              </w:rPr>
            </w:pPr>
            <w:r>
              <w:rPr>
                <w:rFonts w:hint="eastAsia" w:ascii="宋体" w:hAnsi="宋体" w:eastAsia="宋体" w:cs="宋体"/>
                <w:color w:val="000000"/>
                <w:sz w:val="18"/>
                <w:szCs w:val="18"/>
              </w:rPr>
              <w:t>指标</w:t>
            </w:r>
          </w:p>
        </w:tc>
        <w:tc>
          <w:tcPr>
            <w:tcW w:w="1018" w:type="dxa"/>
          </w:tcPr>
          <w:p>
            <w:pPr>
              <w:spacing w:before="138" w:line="140" w:lineRule="exact"/>
              <w:jc w:val="center"/>
              <w:rPr>
                <w:rFonts w:ascii="宋体" w:hAnsi="宋体" w:eastAsia="宋体" w:cs="宋体"/>
                <w:sz w:val="18"/>
                <w:szCs w:val="18"/>
              </w:rPr>
            </w:pPr>
            <w:r>
              <w:rPr>
                <w:rFonts w:hint="eastAsia" w:ascii="宋体" w:hAnsi="宋体" w:eastAsia="宋体" w:cs="宋体"/>
                <w:color w:val="000000"/>
                <w:sz w:val="18"/>
                <w:szCs w:val="18"/>
              </w:rPr>
              <w:t>服务对象满</w:t>
            </w:r>
          </w:p>
          <w:p>
            <w:pPr>
              <w:spacing w:line="168" w:lineRule="exact"/>
              <w:jc w:val="center"/>
              <w:rPr>
                <w:rFonts w:ascii="宋体" w:hAnsi="宋体" w:eastAsia="宋体" w:cs="宋体"/>
                <w:sz w:val="18"/>
                <w:szCs w:val="18"/>
              </w:rPr>
            </w:pPr>
            <w:r>
              <w:rPr>
                <w:rFonts w:hint="eastAsia" w:ascii="宋体" w:hAnsi="宋体" w:eastAsia="宋体" w:cs="宋体"/>
                <w:color w:val="000000"/>
                <w:sz w:val="18"/>
                <w:szCs w:val="18"/>
              </w:rPr>
              <w:t>意度指标</w:t>
            </w:r>
          </w:p>
        </w:tc>
        <w:tc>
          <w:tcPr>
            <w:tcW w:w="2178" w:type="dxa"/>
            <w:gridSpan w:val="2"/>
            <w:vAlign w:val="center"/>
          </w:tcPr>
          <w:p>
            <w:pPr>
              <w:spacing w:line="210" w:lineRule="exact"/>
              <w:ind w:firstLine="180" w:firstLineChars="100"/>
              <w:jc w:val="left"/>
              <w:rPr>
                <w:rFonts w:ascii="宋体" w:hAnsi="宋体" w:eastAsia="宋体" w:cs="宋体"/>
                <w:sz w:val="18"/>
                <w:szCs w:val="18"/>
              </w:rPr>
            </w:pPr>
            <w:r>
              <w:rPr>
                <w:rFonts w:hint="eastAsia" w:ascii="宋体" w:hAnsi="宋体" w:eastAsia="宋体" w:cs="宋体"/>
                <w:color w:val="000000"/>
                <w:sz w:val="18"/>
                <w:szCs w:val="18"/>
              </w:rPr>
              <w:t>群众满意度</w:t>
            </w:r>
          </w:p>
        </w:tc>
        <w:tc>
          <w:tcPr>
            <w:tcW w:w="1434" w:type="dxa"/>
            <w:vAlign w:val="center"/>
          </w:tcPr>
          <w:p>
            <w:pPr>
              <w:jc w:val="center"/>
              <w:rPr>
                <w:rFonts w:ascii="宋体" w:hAnsi="宋体" w:eastAsia="宋体" w:cs="宋体"/>
                <w:sz w:val="18"/>
                <w:szCs w:val="18"/>
              </w:rPr>
            </w:pPr>
            <w:r>
              <w:rPr>
                <w:rFonts w:hint="eastAsia" w:ascii="宋体" w:hAnsi="宋体" w:eastAsia="宋体" w:cs="宋体"/>
                <w:sz w:val="18"/>
                <w:szCs w:val="18"/>
              </w:rPr>
              <w:t>≥95%</w:t>
            </w:r>
          </w:p>
        </w:tc>
        <w:tc>
          <w:tcPr>
            <w:tcW w:w="1395" w:type="dxa"/>
            <w:vAlign w:val="center"/>
          </w:tcPr>
          <w:p>
            <w:pPr>
              <w:jc w:val="center"/>
              <w:rPr>
                <w:rFonts w:ascii="宋体" w:hAnsi="宋体" w:eastAsia="宋体" w:cs="宋体"/>
                <w:sz w:val="18"/>
                <w:szCs w:val="18"/>
              </w:rPr>
            </w:pPr>
            <w:r>
              <w:rPr>
                <w:rFonts w:hint="eastAsia" w:ascii="宋体" w:hAnsi="宋体" w:eastAsia="宋体" w:cs="宋体"/>
                <w:sz w:val="18"/>
                <w:szCs w:val="18"/>
              </w:rPr>
              <w:t>95%</w:t>
            </w:r>
          </w:p>
        </w:tc>
        <w:tc>
          <w:tcPr>
            <w:tcW w:w="2058" w:type="dxa"/>
            <w:vAlign w:val="center"/>
          </w:tcPr>
          <w:p>
            <w:pPr>
              <w:jc w:val="center"/>
              <w:rPr>
                <w:rFonts w:ascii="宋体" w:hAnsi="宋体" w:eastAsia="宋体" w:cs="宋体"/>
                <w:sz w:val="18"/>
                <w:szCs w:val="18"/>
              </w:rPr>
            </w:pPr>
          </w:p>
        </w:tc>
      </w:tr>
    </w:tbl>
    <w:p>
      <w:pPr>
        <w:spacing w:line="576" w:lineRule="exact"/>
        <w:jc w:val="center"/>
        <w:rPr>
          <w:rFonts w:hint="eastAsia" w:ascii="方正小标宋简体" w:hAnsi="方正小标宋简体" w:eastAsia="方正小标宋简体" w:cs="方正小标宋简体"/>
          <w:sz w:val="44"/>
          <w:szCs w:val="44"/>
          <w:lang w:val="zh-CN"/>
        </w:rPr>
      </w:pPr>
    </w:p>
    <w:p>
      <w:pPr>
        <w:spacing w:line="576" w:lineRule="exact"/>
        <w:jc w:val="left"/>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rPr>
        <w:t>附件2-</w:t>
      </w:r>
      <w:r>
        <w:rPr>
          <w:rFonts w:hint="eastAsia" w:ascii="黑体" w:hAnsi="黑体" w:eastAsia="黑体" w:cs="黑体"/>
          <w:bCs/>
          <w:color w:val="000000"/>
          <w:sz w:val="32"/>
          <w:szCs w:val="32"/>
          <w:lang w:val="en-US" w:eastAsia="zh-CN"/>
        </w:rPr>
        <w:t>4</w:t>
      </w:r>
    </w:p>
    <w:p>
      <w:pPr>
        <w:spacing w:line="576" w:lineRule="exact"/>
        <w:jc w:val="center"/>
        <w:rPr>
          <w:rFonts w:hint="eastAsia" w:ascii="方正小标宋简体" w:hAnsi="方正小标宋简体" w:eastAsia="方正小标宋简体" w:cs="方正小标宋简体"/>
          <w:sz w:val="44"/>
          <w:szCs w:val="44"/>
          <w:lang w:val="zh-CN"/>
        </w:rPr>
      </w:pPr>
    </w:p>
    <w:p>
      <w:pPr>
        <w:spacing w:line="576" w:lineRule="exact"/>
        <w:jc w:val="center"/>
        <w:rPr>
          <w:rFonts w:ascii="方正小标宋简体" w:hAnsi="方正小标宋简体" w:eastAsia="方正小标宋简体" w:cs="方正小标宋简体"/>
          <w:color w:val="000000" w:themeColor="text1"/>
          <w:spacing w:val="11"/>
          <w:sz w:val="44"/>
          <w:szCs w:val="44"/>
          <w:lang w:val="zh-CN"/>
        </w:rPr>
      </w:pPr>
      <w:r>
        <w:rPr>
          <w:rFonts w:hint="eastAsia" w:ascii="方正小标宋简体" w:hAnsi="方正小标宋简体" w:eastAsia="方正小标宋简体" w:cs="方正小标宋简体"/>
          <w:sz w:val="44"/>
          <w:szCs w:val="44"/>
          <w:lang w:val="zh-CN"/>
        </w:rPr>
        <w:t>关于2022年中央纪检监察转移支付资金财政项目支出绩效自评报告</w:t>
      </w:r>
    </w:p>
    <w:p>
      <w:pPr>
        <w:spacing w:line="576" w:lineRule="exact"/>
        <w:ind w:firstLine="640" w:firstLineChars="200"/>
        <w:rPr>
          <w:rFonts w:eastAsia="仿宋_GB2312" w:cs="仿宋_GB2312"/>
          <w:color w:val="000000" w:themeColor="text1"/>
          <w:sz w:val="32"/>
          <w:szCs w:val="32"/>
          <w:lang w:val="zh-CN"/>
        </w:rPr>
      </w:pPr>
    </w:p>
    <w:p>
      <w:pPr>
        <w:spacing w:line="536" w:lineRule="exact"/>
        <w:ind w:firstLine="640" w:firstLineChars="200"/>
        <w:outlineLvl w:val="1"/>
        <w:rPr>
          <w:rFonts w:eastAsia="黑体" w:cs="黑体"/>
          <w:color w:val="000000" w:themeColor="text1"/>
          <w:sz w:val="32"/>
          <w:szCs w:val="32"/>
          <w:lang w:val="zh-CN"/>
        </w:rPr>
      </w:pPr>
      <w:bookmarkStart w:id="1" w:name="_Toc28730"/>
      <w:r>
        <w:rPr>
          <w:rFonts w:hint="eastAsia" w:eastAsia="黑体" w:cs="黑体"/>
          <w:color w:val="000000" w:themeColor="text1"/>
          <w:sz w:val="32"/>
          <w:szCs w:val="32"/>
          <w:lang w:val="zh-CN"/>
        </w:rPr>
        <w:t>一、项目概况</w:t>
      </w:r>
      <w:bookmarkEnd w:id="1"/>
    </w:p>
    <w:p>
      <w:pPr>
        <w:spacing w:line="536" w:lineRule="exact"/>
        <w:ind w:firstLine="643" w:firstLineChars="200"/>
        <w:outlineLvl w:val="2"/>
        <w:rPr>
          <w:rFonts w:eastAsia="楷体_GB2312" w:cs="楷体_GB2312"/>
          <w:color w:val="000000" w:themeColor="text1"/>
          <w:sz w:val="32"/>
          <w:szCs w:val="32"/>
          <w:lang w:val="zh-CN"/>
        </w:rPr>
      </w:pPr>
      <w:bookmarkStart w:id="2" w:name="_Toc9647"/>
      <w:r>
        <w:rPr>
          <w:rFonts w:hint="eastAsia" w:ascii="楷体" w:hAnsi="楷体" w:eastAsia="楷体" w:cs="楷体"/>
          <w:b/>
          <w:bCs/>
          <w:color w:val="000000" w:themeColor="text1"/>
          <w:sz w:val="32"/>
          <w:szCs w:val="32"/>
          <w:lang w:val="zh-CN"/>
        </w:rPr>
        <w:t>(一)项目资金申报及批复情况</w:t>
      </w:r>
      <w:bookmarkEnd w:id="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该项目申报资金性质为一般公共预算，总申报金额为4.6万元。上级实际批复和安排预算资金为4.6万元。</w:t>
      </w:r>
      <w:r>
        <w:rPr>
          <w:rFonts w:hint="eastAsia" w:eastAsia="楷体_GB2312" w:cs="楷体_GB2312"/>
          <w:color w:val="000000" w:themeColor="text1"/>
          <w:sz w:val="32"/>
          <w:szCs w:val="32"/>
          <w:lang w:val="zh-CN"/>
        </w:rPr>
        <w:t xml:space="preserve"> </w:t>
      </w:r>
    </w:p>
    <w:p>
      <w:pPr>
        <w:spacing w:line="536" w:lineRule="exact"/>
        <w:ind w:firstLine="643" w:firstLineChars="200"/>
        <w:outlineLvl w:val="2"/>
        <w:rPr>
          <w:rFonts w:ascii="楷体" w:hAnsi="楷体" w:eastAsia="楷体" w:cs="楷体"/>
          <w:b/>
          <w:bCs/>
          <w:color w:val="000000" w:themeColor="text1"/>
          <w:sz w:val="32"/>
          <w:szCs w:val="32"/>
          <w:lang w:val="zh-CN"/>
        </w:rPr>
      </w:pPr>
      <w:bookmarkStart w:id="3" w:name="_Toc19670"/>
      <w:r>
        <w:rPr>
          <w:rFonts w:hint="eastAsia" w:ascii="楷体" w:hAnsi="楷体" w:eastAsia="楷体" w:cs="楷体"/>
          <w:b/>
          <w:bCs/>
          <w:color w:val="000000" w:themeColor="text1"/>
          <w:sz w:val="32"/>
          <w:szCs w:val="32"/>
          <w:lang w:val="zh-CN"/>
        </w:rPr>
        <w:t>(二)项目绩效目标</w:t>
      </w:r>
      <w:bookmarkEnd w:id="3"/>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项目年初申报绩效目标为：</w:t>
      </w:r>
      <w:r>
        <w:rPr>
          <w:rFonts w:hint="eastAsia" w:ascii="仿宋_GB2312" w:hAnsi="仿宋_GB2312" w:eastAsia="仿宋_GB2312" w:cs="仿宋_GB2312"/>
          <w:sz w:val="32"/>
          <w:szCs w:val="32"/>
          <w:lang w:val="zh-CN"/>
        </w:rPr>
        <w:t>用于强化监督执纪问责和监督调查处置职能，围绕现代化建设大局发挥监督保障作用，以便更好的服务民生大众。</w:t>
      </w:r>
    </w:p>
    <w:p>
      <w:pPr>
        <w:spacing w:line="536" w:lineRule="exact"/>
        <w:ind w:firstLine="643" w:firstLineChars="200"/>
        <w:outlineLvl w:val="2"/>
        <w:rPr>
          <w:rFonts w:ascii="楷体" w:hAnsi="楷体" w:eastAsia="楷体" w:cs="楷体"/>
          <w:b/>
          <w:bCs/>
          <w:color w:val="000000" w:themeColor="text1"/>
          <w:sz w:val="32"/>
          <w:szCs w:val="32"/>
          <w:lang w:val="zh-CN"/>
        </w:rPr>
      </w:pPr>
      <w:bookmarkStart w:id="4" w:name="_Toc9024"/>
      <w:r>
        <w:rPr>
          <w:rFonts w:hint="eastAsia" w:ascii="楷体" w:hAnsi="楷体" w:eastAsia="楷体" w:cs="楷体"/>
          <w:b/>
          <w:bCs/>
          <w:color w:val="000000" w:themeColor="text1"/>
          <w:sz w:val="32"/>
          <w:szCs w:val="32"/>
          <w:lang w:val="zh-CN"/>
        </w:rPr>
        <w:t>(三)项目资金申报相符性</w:t>
      </w:r>
      <w:bookmarkEnd w:id="4"/>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纪检监察转移支付资金严格按照年初项目经费申报要求执行，项目经费申报符合当年本单位工作需要，并达到预期目标。申报内容与实际相符、申报目标合理可行。</w:t>
      </w:r>
    </w:p>
    <w:p>
      <w:pPr>
        <w:spacing w:line="536" w:lineRule="exact"/>
        <w:ind w:firstLine="643" w:firstLineChars="200"/>
        <w:outlineLvl w:val="2"/>
        <w:rPr>
          <w:rFonts w:ascii="楷体" w:hAnsi="楷体" w:eastAsia="楷体" w:cs="楷体"/>
          <w:b/>
          <w:bCs/>
          <w:color w:val="000000" w:themeColor="text1"/>
          <w:sz w:val="32"/>
          <w:szCs w:val="32"/>
          <w:lang w:val="zh-CN"/>
        </w:rPr>
      </w:pPr>
      <w:bookmarkStart w:id="5" w:name="_Toc5397"/>
      <w:r>
        <w:rPr>
          <w:rFonts w:hint="eastAsia" w:ascii="楷体" w:hAnsi="楷体" w:eastAsia="楷体" w:cs="楷体"/>
          <w:b/>
          <w:bCs/>
          <w:color w:val="000000" w:themeColor="text1"/>
          <w:sz w:val="32"/>
          <w:szCs w:val="32"/>
          <w:lang w:val="zh-CN"/>
        </w:rPr>
        <w:t>(四)自评步骤及方法</w:t>
      </w:r>
      <w:bookmarkEnd w:id="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通过制定方案、资料收集、审核评价资料及撰写报告等几个阶段，认真、准确填写自评数据表，形成详实的自评报告，并按时完成自评工作，对所报送自评材料的真实性、完整性、一致性、规范性负责。</w:t>
      </w:r>
    </w:p>
    <w:p>
      <w:pPr>
        <w:spacing w:line="536" w:lineRule="exact"/>
        <w:ind w:firstLine="640" w:firstLineChars="200"/>
        <w:outlineLvl w:val="1"/>
        <w:rPr>
          <w:rFonts w:eastAsia="黑体" w:cs="黑体"/>
          <w:color w:val="000000" w:themeColor="text1"/>
          <w:sz w:val="32"/>
          <w:szCs w:val="32"/>
          <w:lang w:val="zh-CN"/>
        </w:rPr>
      </w:pPr>
      <w:bookmarkStart w:id="6" w:name="_Toc5703"/>
      <w:r>
        <w:rPr>
          <w:rFonts w:hint="eastAsia" w:eastAsia="黑体" w:cs="黑体"/>
          <w:color w:val="000000" w:themeColor="text1"/>
          <w:sz w:val="32"/>
          <w:szCs w:val="32"/>
          <w:lang w:val="zh-CN"/>
        </w:rPr>
        <w:t>二、项目实施及管理情况</w:t>
      </w:r>
      <w:bookmarkEnd w:id="6"/>
    </w:p>
    <w:p>
      <w:pPr>
        <w:spacing w:line="536" w:lineRule="exact"/>
        <w:ind w:firstLine="643" w:firstLineChars="200"/>
        <w:outlineLvl w:val="2"/>
        <w:rPr>
          <w:rFonts w:ascii="楷体" w:hAnsi="楷体" w:eastAsia="楷体" w:cs="楷体"/>
          <w:b/>
          <w:bCs/>
          <w:color w:val="000000" w:themeColor="text1"/>
          <w:sz w:val="32"/>
          <w:szCs w:val="32"/>
          <w:lang w:val="zh-CN"/>
        </w:rPr>
      </w:pPr>
      <w:bookmarkStart w:id="7" w:name="_Toc11470"/>
      <w:r>
        <w:rPr>
          <w:rFonts w:hint="eastAsia" w:ascii="楷体" w:hAnsi="楷体" w:eastAsia="楷体" w:cs="楷体"/>
          <w:b/>
          <w:bCs/>
          <w:color w:val="000000" w:themeColor="text1"/>
          <w:sz w:val="32"/>
          <w:szCs w:val="32"/>
          <w:lang w:val="zh-CN"/>
        </w:rPr>
        <w:t>(一)资金计划、到位及使用情况</w:t>
      </w:r>
      <w:bookmarkEnd w:id="7"/>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1.资金计划及到位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各项目资金来源均为财政资金。资金到位及时，资金到位率100%、到位及时性90%。</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2.资金使用</w:t>
      </w: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2022年中央纪检监察转移支付资金预算支出4.6万元，实际支出</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zh-CN"/>
        </w:rPr>
        <w:t>万元，将于</w:t>
      </w:r>
      <w:r>
        <w:rPr>
          <w:rFonts w:hint="eastAsia" w:ascii="仿宋_GB2312" w:hAnsi="仿宋_GB2312" w:eastAsia="仿宋_GB2312" w:cs="仿宋_GB2312"/>
          <w:sz w:val="32"/>
          <w:szCs w:val="32"/>
        </w:rPr>
        <w:t>2023年度支付，</w:t>
      </w:r>
      <w:r>
        <w:rPr>
          <w:rFonts w:hint="eastAsia" w:ascii="仿宋_GB2312" w:hAnsi="仿宋_GB2312" w:eastAsia="仿宋_GB2312" w:cs="仿宋_GB2312"/>
          <w:sz w:val="32"/>
          <w:szCs w:val="32"/>
          <w:lang w:val="zh-CN"/>
        </w:rPr>
        <w:t>主要用于虎跳镇纪委谈话室的建设。</w:t>
      </w:r>
    </w:p>
    <w:p>
      <w:pPr>
        <w:spacing w:line="536" w:lineRule="exact"/>
        <w:ind w:firstLine="643" w:firstLineChars="200"/>
        <w:outlineLvl w:val="2"/>
        <w:rPr>
          <w:rFonts w:ascii="楷体" w:hAnsi="楷体" w:eastAsia="楷体" w:cs="楷体"/>
          <w:b/>
          <w:bCs/>
          <w:color w:val="000000" w:themeColor="text1"/>
          <w:sz w:val="32"/>
          <w:szCs w:val="32"/>
          <w:lang w:val="zh-CN"/>
        </w:rPr>
      </w:pPr>
      <w:bookmarkStart w:id="8" w:name="_Toc89"/>
      <w:r>
        <w:rPr>
          <w:rFonts w:hint="eastAsia" w:ascii="楷体" w:hAnsi="楷体" w:eastAsia="楷体" w:cs="楷体"/>
          <w:b/>
          <w:bCs/>
          <w:color w:val="000000" w:themeColor="text1"/>
          <w:sz w:val="32"/>
          <w:szCs w:val="32"/>
          <w:lang w:val="zh-CN"/>
        </w:rPr>
        <w:t>(二)项目财务管理情况</w:t>
      </w:r>
      <w:bookmarkEnd w:id="8"/>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我镇有健全的财务制度，资金拨付严格按照财务管理制度进行管理，保证专款专用，资金发放复查由财务人员按照财务制度进行资金的审核、支付和核算，所有支出均按政策执行，在具体支付时，具备了资金发票等相关材料，手续完善，不存在虚假会计凭证的情况，会计严格执行财务管理制度，财务处理及时，核算规范。</w:t>
      </w:r>
    </w:p>
    <w:p>
      <w:pPr>
        <w:spacing w:line="536" w:lineRule="exact"/>
        <w:ind w:firstLine="643" w:firstLineChars="200"/>
        <w:outlineLvl w:val="2"/>
        <w:rPr>
          <w:rFonts w:ascii="楷体" w:hAnsi="楷体" w:eastAsia="楷体" w:cs="楷体"/>
          <w:b/>
          <w:bCs/>
          <w:color w:val="000000" w:themeColor="text1"/>
          <w:sz w:val="32"/>
          <w:szCs w:val="32"/>
          <w:lang w:val="zh-CN"/>
        </w:rPr>
      </w:pPr>
      <w:bookmarkStart w:id="9" w:name="_Toc20487"/>
      <w:r>
        <w:rPr>
          <w:rFonts w:hint="eastAsia" w:ascii="楷体" w:hAnsi="楷体" w:eastAsia="楷体" w:cs="楷体"/>
          <w:b/>
          <w:bCs/>
          <w:color w:val="000000" w:themeColor="text1"/>
          <w:sz w:val="32"/>
          <w:szCs w:val="32"/>
          <w:lang w:val="zh-CN"/>
        </w:rPr>
        <w:t>(三)项目组织实施及管理情况</w:t>
      </w:r>
      <w:bookmarkEnd w:id="9"/>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该资金主要用于磨滩镇纪检谈话室建设，为全镇查处违反纪政纪案提供硬件设施及相关服务，为合理规范使用项目资金，提高资金使用效率，确保资金安全，我镇严格执行相关法律法规及项目管理制度，严格按照项目资金管理办法实施，资金拨付程序合规，符合资金批复用途。</w:t>
      </w:r>
    </w:p>
    <w:p>
      <w:pPr>
        <w:spacing w:line="536" w:lineRule="exact"/>
        <w:ind w:firstLine="640" w:firstLineChars="200"/>
        <w:outlineLvl w:val="1"/>
        <w:rPr>
          <w:rFonts w:eastAsia="黑体" w:cs="黑体"/>
          <w:color w:val="000000" w:themeColor="text1"/>
          <w:sz w:val="32"/>
          <w:szCs w:val="32"/>
          <w:lang w:val="zh-CN"/>
        </w:rPr>
      </w:pPr>
      <w:bookmarkStart w:id="10" w:name="_Toc4861"/>
      <w:r>
        <w:rPr>
          <w:rFonts w:hint="eastAsia" w:eastAsia="黑体" w:cs="黑体"/>
          <w:color w:val="000000" w:themeColor="text1"/>
          <w:sz w:val="32"/>
          <w:szCs w:val="32"/>
          <w:lang w:val="zh-CN"/>
        </w:rPr>
        <w:t>三、项目绩效情况</w:t>
      </w:r>
      <w:bookmarkEnd w:id="10"/>
    </w:p>
    <w:p>
      <w:pPr>
        <w:spacing w:line="536" w:lineRule="exact"/>
        <w:ind w:firstLine="643" w:firstLineChars="200"/>
        <w:outlineLvl w:val="2"/>
        <w:rPr>
          <w:rFonts w:ascii="楷体" w:hAnsi="楷体" w:eastAsia="楷体" w:cs="楷体"/>
          <w:b/>
          <w:bCs/>
          <w:color w:val="000000" w:themeColor="text1"/>
          <w:sz w:val="32"/>
          <w:szCs w:val="32"/>
          <w:lang w:val="zh-CN"/>
        </w:rPr>
      </w:pPr>
      <w:bookmarkStart w:id="11" w:name="_Toc16711"/>
      <w:r>
        <w:rPr>
          <w:rFonts w:hint="eastAsia" w:ascii="楷体" w:hAnsi="楷体" w:eastAsia="楷体" w:cs="楷体"/>
          <w:b/>
          <w:bCs/>
          <w:color w:val="000000" w:themeColor="text1"/>
          <w:sz w:val="32"/>
          <w:szCs w:val="32"/>
          <w:lang w:val="zh-CN"/>
        </w:rPr>
        <w:t>(一)项目完成情况</w:t>
      </w:r>
      <w:bookmarkEnd w:id="11"/>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完成改造纪委谈话室一间，有效提升乡镇案件查办质效，营造良好的政治生态环境，群众及相关干部满意度达98%，项目时效为2022年1月1日-12月31日。</w:t>
      </w:r>
    </w:p>
    <w:p>
      <w:pPr>
        <w:spacing w:line="536" w:lineRule="exact"/>
        <w:ind w:firstLine="643" w:firstLineChars="200"/>
        <w:outlineLvl w:val="2"/>
        <w:rPr>
          <w:rFonts w:eastAsia="仿宋_GB2312" w:cs="仿宋_GB2312"/>
          <w:color w:val="000000" w:themeColor="text1"/>
          <w:sz w:val="32"/>
          <w:szCs w:val="32"/>
          <w:lang w:val="zh-CN"/>
        </w:rPr>
      </w:pPr>
      <w:bookmarkStart w:id="12" w:name="_Toc26967"/>
      <w:r>
        <w:rPr>
          <w:rFonts w:hint="eastAsia" w:ascii="楷体" w:hAnsi="楷体" w:eastAsia="楷体" w:cs="楷体"/>
          <w:b/>
          <w:bCs/>
          <w:color w:val="000000" w:themeColor="text1"/>
          <w:sz w:val="32"/>
          <w:szCs w:val="32"/>
          <w:lang w:val="zh-CN"/>
        </w:rPr>
        <w:t>(二)项目效益情况</w:t>
      </w:r>
      <w:bookmarkEnd w:id="12"/>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本单位2022年中央纪检监察转移支付资金4.6万元，数量指标完成100%；为经济发展提供了坚强的政治保障，营造了风清气正的良好政治生态，推动纪检监察工作高质量发展。</w:t>
      </w:r>
    </w:p>
    <w:p>
      <w:pPr>
        <w:spacing w:line="536" w:lineRule="exact"/>
        <w:ind w:firstLine="640" w:firstLineChars="200"/>
        <w:outlineLvl w:val="1"/>
        <w:rPr>
          <w:rFonts w:eastAsia="黑体" w:cs="黑体"/>
          <w:color w:val="000000" w:themeColor="text1"/>
          <w:sz w:val="32"/>
          <w:szCs w:val="32"/>
          <w:lang w:val="zh-CN"/>
        </w:rPr>
      </w:pPr>
      <w:bookmarkStart w:id="13" w:name="_Toc20239"/>
      <w:r>
        <w:rPr>
          <w:rFonts w:hint="eastAsia" w:eastAsia="黑体" w:cs="黑体"/>
          <w:color w:val="000000" w:themeColor="text1"/>
          <w:sz w:val="32"/>
          <w:szCs w:val="32"/>
          <w:lang w:val="zh-CN"/>
        </w:rPr>
        <w:t>四、自评结论及建议</w:t>
      </w:r>
      <w:bookmarkEnd w:id="13"/>
    </w:p>
    <w:p>
      <w:pPr>
        <w:spacing w:line="536" w:lineRule="exact"/>
        <w:ind w:firstLine="643" w:firstLineChars="200"/>
        <w:outlineLvl w:val="2"/>
        <w:rPr>
          <w:rFonts w:eastAsia="仿宋_GB2312" w:cs="仿宋_GB2312"/>
          <w:color w:val="000000" w:themeColor="text1"/>
          <w:sz w:val="32"/>
          <w:szCs w:val="32"/>
          <w:lang w:val="zh-CN"/>
        </w:rPr>
      </w:pPr>
      <w:bookmarkStart w:id="14" w:name="_Toc24612"/>
      <w:r>
        <w:rPr>
          <w:rFonts w:hint="eastAsia" w:ascii="楷体" w:hAnsi="楷体" w:eastAsia="楷体" w:cs="楷体"/>
          <w:b/>
          <w:bCs/>
          <w:color w:val="000000" w:themeColor="text1"/>
          <w:sz w:val="32"/>
          <w:szCs w:val="32"/>
          <w:lang w:val="zh-CN"/>
        </w:rPr>
        <w:t>(一)评价结论</w:t>
      </w:r>
      <w:bookmarkEnd w:id="14"/>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我镇项目设立经过严格评估论证，属于部门职责相符，属于公共财政支持范围，符合地方事权支出责任划分原则，与相关部门同类项目或部门内部无相关项目重复。项目规划符合省委、区委、省政府、区政府重大决策部署，项目绩效目标合理、明确，与项目年度目标一致。总体评价98.5分。</w:t>
      </w:r>
    </w:p>
    <w:p>
      <w:pPr>
        <w:spacing w:line="536" w:lineRule="exact"/>
        <w:ind w:firstLine="643" w:firstLineChars="200"/>
        <w:outlineLvl w:val="2"/>
        <w:rPr>
          <w:rFonts w:ascii="楷体" w:hAnsi="楷体" w:eastAsia="楷体" w:cs="楷体"/>
          <w:b/>
          <w:bCs/>
          <w:color w:val="000000" w:themeColor="text1"/>
          <w:sz w:val="32"/>
          <w:szCs w:val="32"/>
          <w:lang w:val="zh-CN"/>
        </w:rPr>
      </w:pPr>
      <w:bookmarkStart w:id="15" w:name="_Toc4700"/>
      <w:r>
        <w:rPr>
          <w:rFonts w:hint="eastAsia" w:ascii="楷体" w:hAnsi="楷体" w:eastAsia="楷体" w:cs="楷体"/>
          <w:b/>
          <w:bCs/>
          <w:color w:val="000000" w:themeColor="text1"/>
          <w:sz w:val="32"/>
          <w:szCs w:val="32"/>
          <w:lang w:val="zh-CN"/>
        </w:rPr>
        <w:t>(二)存在的问题</w:t>
      </w:r>
      <w:bookmarkEnd w:id="15"/>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无</w:t>
      </w:r>
    </w:p>
    <w:p>
      <w:pPr>
        <w:spacing w:line="536" w:lineRule="exact"/>
        <w:ind w:firstLine="643" w:firstLineChars="200"/>
        <w:outlineLvl w:val="2"/>
        <w:rPr>
          <w:rFonts w:eastAsia="仿宋_GB2312" w:cs="仿宋_GB2312"/>
          <w:color w:val="000000" w:themeColor="text1"/>
          <w:sz w:val="32"/>
          <w:szCs w:val="32"/>
          <w:lang w:val="zh-CN"/>
        </w:rPr>
      </w:pPr>
      <w:bookmarkStart w:id="16" w:name="_Toc1724"/>
      <w:r>
        <w:rPr>
          <w:rFonts w:hint="eastAsia" w:ascii="楷体" w:hAnsi="楷体" w:eastAsia="楷体" w:cs="楷体"/>
          <w:b/>
          <w:bCs/>
          <w:color w:val="000000" w:themeColor="text1"/>
          <w:sz w:val="32"/>
          <w:szCs w:val="32"/>
          <w:lang w:val="zh-CN"/>
        </w:rPr>
        <w:t>(三)相关建议</w:t>
      </w:r>
      <w:bookmarkEnd w:id="16"/>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强化转移支付资金的使用和管理，按时对转移支付资金的绩效目标自评报告进行公开，广泛接受社会监督。</w:t>
      </w:r>
    </w:p>
    <w:p>
      <w:r>
        <w:rPr>
          <w:rFonts w:hint="eastAsia"/>
        </w:rPr>
        <w:br w:type="page"/>
      </w:r>
    </w:p>
    <w:p>
      <w:pPr>
        <w:spacing w:before="103" w:line="219" w:lineRule="auto"/>
        <w:jc w:val="center"/>
        <w:rPr>
          <w:rFonts w:ascii="宋体" w:hAnsi="宋体" w:cs="宋体"/>
          <w:sz w:val="34"/>
          <w:szCs w:val="34"/>
        </w:rPr>
      </w:pPr>
      <w:r>
        <w:rPr>
          <w:rFonts w:hint="eastAsia" w:ascii="方正小标宋简体" w:hAnsi="方正小标宋简体" w:eastAsia="方正小标宋简体" w:cs="方正小标宋简体"/>
          <w:spacing w:val="-28"/>
          <w:sz w:val="44"/>
          <w:szCs w:val="44"/>
        </w:rPr>
        <w:t>广元市昭化区财政项目(政策)支出绩效自评表</w:t>
      </w:r>
    </w:p>
    <w:p>
      <w:pPr>
        <w:spacing w:before="86" w:line="219" w:lineRule="auto"/>
        <w:ind w:left="3894"/>
        <w:rPr>
          <w:rFonts w:ascii="宋体" w:hAnsi="宋体" w:cs="宋体"/>
          <w:sz w:val="22"/>
          <w:szCs w:val="22"/>
        </w:rPr>
      </w:pPr>
      <w:r>
        <w:rPr>
          <w:rFonts w:ascii="宋体" w:hAnsi="宋体" w:cs="宋体"/>
          <w:spacing w:val="-14"/>
          <w:sz w:val="22"/>
          <w:szCs w:val="22"/>
        </w:rPr>
        <w:t>(</w:t>
      </w:r>
      <w:r>
        <w:rPr>
          <w:rFonts w:hint="eastAsia" w:ascii="宋体" w:hAnsi="宋体" w:cs="宋体"/>
          <w:spacing w:val="32"/>
          <w:sz w:val="22"/>
          <w:szCs w:val="22"/>
        </w:rPr>
        <w:t>2022</w:t>
      </w:r>
      <w:r>
        <w:rPr>
          <w:rFonts w:ascii="宋体" w:hAnsi="宋体" w:cs="宋体"/>
          <w:spacing w:val="-14"/>
          <w:sz w:val="22"/>
          <w:szCs w:val="22"/>
        </w:rPr>
        <w:t>年度)</w:t>
      </w:r>
    </w:p>
    <w:p>
      <w:pPr>
        <w:spacing w:line="134" w:lineRule="exact"/>
      </w:pPr>
    </w:p>
    <w:tbl>
      <w:tblPr>
        <w:tblStyle w:val="35"/>
        <w:tblW w:w="90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
        <w:gridCol w:w="752"/>
        <w:gridCol w:w="999"/>
        <w:gridCol w:w="778"/>
        <w:gridCol w:w="1308"/>
        <w:gridCol w:w="1145"/>
        <w:gridCol w:w="951"/>
        <w:gridCol w:w="2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449" w:type="dxa"/>
            <w:gridSpan w:val="2"/>
          </w:tcPr>
          <w:p>
            <w:pPr>
              <w:spacing w:before="82" w:line="220" w:lineRule="auto"/>
              <w:ind w:left="75"/>
              <w:rPr>
                <w:rFonts w:ascii="仿宋_GB2312" w:hAnsi="仿宋_GB2312" w:eastAsia="仿宋_GB2312" w:cs="仿宋_GB2312"/>
                <w:szCs w:val="21"/>
              </w:rPr>
            </w:pPr>
            <w:r>
              <w:rPr>
                <w:rFonts w:hint="eastAsia" w:ascii="仿宋_GB2312" w:hAnsi="仿宋_GB2312" w:eastAsia="仿宋_GB2312" w:cs="仿宋_GB2312"/>
                <w:spacing w:val="-2"/>
                <w:szCs w:val="21"/>
              </w:rPr>
              <w:t>项目(政策)名称</w:t>
            </w:r>
          </w:p>
        </w:tc>
        <w:tc>
          <w:tcPr>
            <w:tcW w:w="7650" w:type="dxa"/>
            <w:gridSpan w:val="6"/>
          </w:tcPr>
          <w:p>
            <w:pPr>
              <w:rPr>
                <w:rFonts w:ascii="仿宋_GB2312" w:hAnsi="仿宋_GB2312" w:eastAsia="仿宋_GB2312" w:cs="仿宋_GB2312"/>
                <w:szCs w:val="21"/>
              </w:rPr>
            </w:pPr>
            <w:r>
              <w:rPr>
                <w:rFonts w:hint="eastAsia" w:ascii="仿宋_GB2312" w:hAnsi="仿宋_GB2312" w:eastAsia="仿宋_GB2312" w:cs="仿宋_GB2312"/>
                <w:color w:val="000000" w:themeColor="text1"/>
                <w:szCs w:val="21"/>
              </w:rPr>
              <w:t>2022年中央纪检监察转移支付资金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tcPr>
          <w:p>
            <w:pPr>
              <w:spacing w:before="78" w:line="219" w:lineRule="auto"/>
              <w:ind w:left="404"/>
              <w:jc w:val="center"/>
              <w:rPr>
                <w:rFonts w:ascii="仿宋_GB2312" w:hAnsi="仿宋_GB2312" w:eastAsia="仿宋_GB2312" w:cs="仿宋_GB2312"/>
                <w:szCs w:val="21"/>
              </w:rPr>
            </w:pPr>
            <w:r>
              <w:rPr>
                <w:rFonts w:hint="eastAsia" w:ascii="仿宋_GB2312" w:hAnsi="仿宋_GB2312" w:eastAsia="仿宋_GB2312" w:cs="仿宋_GB2312"/>
                <w:spacing w:val="4"/>
                <w:szCs w:val="21"/>
              </w:rPr>
              <w:t>主管部门</w:t>
            </w:r>
          </w:p>
        </w:tc>
        <w:tc>
          <w:tcPr>
            <w:tcW w:w="4230" w:type="dxa"/>
            <w:gridSpan w:val="4"/>
          </w:tcPr>
          <w:p>
            <w:pPr>
              <w:rPr>
                <w:rFonts w:ascii="仿宋_GB2312" w:hAnsi="仿宋_GB2312" w:eastAsia="仿宋_GB2312" w:cs="仿宋_GB2312"/>
                <w:szCs w:val="21"/>
              </w:rPr>
            </w:pPr>
            <w:r>
              <w:rPr>
                <w:rFonts w:hint="eastAsia" w:ascii="仿宋_GB2312" w:hAnsi="仿宋_GB2312" w:eastAsia="仿宋_GB2312" w:cs="仿宋_GB2312"/>
                <w:color w:val="000000" w:themeColor="text1"/>
                <w:szCs w:val="21"/>
              </w:rPr>
              <w:t>广元市昭化区纪委监委</w:t>
            </w:r>
          </w:p>
        </w:tc>
        <w:tc>
          <w:tcPr>
            <w:tcW w:w="951" w:type="dxa"/>
          </w:tcPr>
          <w:p>
            <w:pPr>
              <w:spacing w:before="78" w:line="219" w:lineRule="auto"/>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实施单位</w:t>
            </w:r>
          </w:p>
        </w:tc>
        <w:tc>
          <w:tcPr>
            <w:tcW w:w="2469" w:type="dxa"/>
          </w:tcPr>
          <w:p>
            <w:pPr>
              <w:spacing w:before="78" w:line="219" w:lineRule="auto"/>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虎跳镇人民政府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49" w:type="dxa"/>
            <w:gridSpan w:val="2"/>
            <w:vMerge w:val="restart"/>
            <w:tcBorders>
              <w:bottom w:val="nil"/>
            </w:tcBorders>
          </w:tcPr>
          <w:p>
            <w:pPr>
              <w:spacing w:line="279" w:lineRule="auto"/>
              <w:rPr>
                <w:rFonts w:ascii="仿宋_GB2312" w:hAnsi="仿宋_GB2312" w:eastAsia="仿宋_GB2312" w:cs="仿宋_GB2312"/>
                <w:szCs w:val="21"/>
              </w:rPr>
            </w:pPr>
          </w:p>
          <w:p>
            <w:pPr>
              <w:spacing w:line="279" w:lineRule="auto"/>
              <w:rPr>
                <w:rFonts w:ascii="仿宋_GB2312" w:hAnsi="仿宋_GB2312" w:eastAsia="仿宋_GB2312" w:cs="仿宋_GB2312"/>
                <w:szCs w:val="21"/>
              </w:rPr>
            </w:pPr>
          </w:p>
          <w:p>
            <w:pPr>
              <w:spacing w:line="279" w:lineRule="auto"/>
              <w:rPr>
                <w:rFonts w:ascii="仿宋_GB2312" w:hAnsi="仿宋_GB2312" w:eastAsia="仿宋_GB2312" w:cs="仿宋_GB2312"/>
                <w:szCs w:val="21"/>
              </w:rPr>
            </w:pPr>
          </w:p>
          <w:p>
            <w:pPr>
              <w:spacing w:line="279" w:lineRule="auto"/>
              <w:rPr>
                <w:rFonts w:ascii="仿宋_GB2312" w:hAnsi="仿宋_GB2312" w:eastAsia="仿宋_GB2312" w:cs="仿宋_GB2312"/>
                <w:szCs w:val="21"/>
              </w:rPr>
            </w:pPr>
          </w:p>
          <w:p>
            <w:pPr>
              <w:spacing w:line="560" w:lineRule="exact"/>
              <w:rPr>
                <w:rFonts w:ascii="仿宋_GB2312" w:hAnsi="仿宋_GB2312" w:eastAsia="仿宋_GB2312" w:cs="仿宋_GB2312"/>
                <w:szCs w:val="21"/>
              </w:rPr>
            </w:pPr>
            <w:r>
              <w:rPr>
                <w:rFonts w:hint="eastAsia" w:ascii="仿宋_GB2312" w:hAnsi="仿宋_GB2312" w:eastAsia="仿宋_GB2312" w:cs="仿宋_GB2312"/>
                <w:spacing w:val="-2"/>
                <w:szCs w:val="21"/>
              </w:rPr>
              <w:t>项目(政策)资金</w:t>
            </w:r>
            <w:r>
              <w:rPr>
                <w:rFonts w:hint="eastAsia" w:ascii="仿宋_GB2312" w:hAnsi="仿宋_GB2312" w:eastAsia="仿宋_GB2312" w:cs="仿宋_GB2312"/>
                <w:spacing w:val="9"/>
                <w:szCs w:val="21"/>
              </w:rPr>
              <w:t>(万元)</w:t>
            </w:r>
          </w:p>
        </w:tc>
        <w:tc>
          <w:tcPr>
            <w:tcW w:w="1777" w:type="dxa"/>
            <w:gridSpan w:val="2"/>
          </w:tcPr>
          <w:p>
            <w:pPr>
              <w:rPr>
                <w:rFonts w:ascii="仿宋_GB2312" w:hAnsi="仿宋_GB2312" w:eastAsia="仿宋_GB2312" w:cs="仿宋_GB2312"/>
                <w:szCs w:val="21"/>
              </w:rPr>
            </w:pPr>
          </w:p>
        </w:tc>
        <w:tc>
          <w:tcPr>
            <w:tcW w:w="1308" w:type="dxa"/>
          </w:tcPr>
          <w:p>
            <w:pPr>
              <w:spacing w:before="77" w:line="219"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年初预算数</w:t>
            </w:r>
          </w:p>
        </w:tc>
        <w:tc>
          <w:tcPr>
            <w:tcW w:w="1145" w:type="dxa"/>
          </w:tcPr>
          <w:p>
            <w:pPr>
              <w:spacing w:before="98" w:line="219"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全年预算数</w:t>
            </w:r>
          </w:p>
        </w:tc>
        <w:tc>
          <w:tcPr>
            <w:tcW w:w="951" w:type="dxa"/>
          </w:tcPr>
          <w:p>
            <w:pPr>
              <w:spacing w:before="77" w:line="219"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全年执行数</w:t>
            </w:r>
          </w:p>
        </w:tc>
        <w:tc>
          <w:tcPr>
            <w:tcW w:w="2469" w:type="dxa"/>
          </w:tcPr>
          <w:p>
            <w:pPr>
              <w:spacing w:before="77" w:line="219"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tcPr>
          <w:p>
            <w:pPr>
              <w:rPr>
                <w:rFonts w:ascii="仿宋_GB2312" w:hAnsi="仿宋_GB2312" w:eastAsia="仿宋_GB2312" w:cs="仿宋_GB2312"/>
                <w:szCs w:val="21"/>
              </w:rPr>
            </w:pPr>
          </w:p>
        </w:tc>
        <w:tc>
          <w:tcPr>
            <w:tcW w:w="1777" w:type="dxa"/>
            <w:gridSpan w:val="2"/>
          </w:tcPr>
          <w:p>
            <w:pPr>
              <w:spacing w:before="79" w:line="219" w:lineRule="auto"/>
              <w:ind w:left="151"/>
              <w:rPr>
                <w:rFonts w:ascii="仿宋_GB2312" w:hAnsi="仿宋_GB2312" w:eastAsia="仿宋_GB2312" w:cs="仿宋_GB2312"/>
                <w:szCs w:val="21"/>
              </w:rPr>
            </w:pPr>
            <w:r>
              <w:rPr>
                <w:rFonts w:hint="eastAsia" w:ascii="仿宋_GB2312" w:hAnsi="仿宋_GB2312" w:eastAsia="仿宋_GB2312" w:cs="仿宋_GB2312"/>
                <w:spacing w:val="-2"/>
                <w:szCs w:val="21"/>
              </w:rPr>
              <w:t>年度资金总额</w:t>
            </w:r>
          </w:p>
        </w:tc>
        <w:tc>
          <w:tcPr>
            <w:tcW w:w="1308" w:type="dxa"/>
          </w:tcPr>
          <w:p>
            <w:pPr>
              <w:spacing w:before="77" w:line="219" w:lineRule="auto"/>
              <w:jc w:val="center"/>
              <w:rPr>
                <w:rFonts w:ascii="仿宋_GB2312" w:hAnsi="仿宋_GB2312" w:eastAsia="仿宋_GB2312" w:cs="仿宋_GB2312"/>
                <w:spacing w:val="-2"/>
                <w:szCs w:val="21"/>
              </w:rPr>
            </w:pPr>
            <w:r>
              <w:rPr>
                <w:rFonts w:hint="eastAsia" w:ascii="仿宋_GB2312" w:hAnsi="仿宋_GB2312" w:eastAsia="仿宋_GB2312" w:cs="仿宋_GB2312"/>
                <w:spacing w:val="-2"/>
                <w:szCs w:val="21"/>
              </w:rPr>
              <w:t>4.6</w:t>
            </w:r>
          </w:p>
        </w:tc>
        <w:tc>
          <w:tcPr>
            <w:tcW w:w="1145" w:type="dxa"/>
          </w:tcPr>
          <w:p>
            <w:pPr>
              <w:spacing w:before="77" w:line="219" w:lineRule="auto"/>
              <w:jc w:val="center"/>
              <w:rPr>
                <w:rFonts w:ascii="仿宋_GB2312" w:hAnsi="仿宋_GB2312" w:eastAsia="仿宋_GB2312" w:cs="仿宋_GB2312"/>
                <w:spacing w:val="-2"/>
                <w:szCs w:val="21"/>
              </w:rPr>
            </w:pPr>
            <w:r>
              <w:rPr>
                <w:rFonts w:hint="eastAsia" w:ascii="仿宋_GB2312" w:hAnsi="仿宋_GB2312" w:eastAsia="仿宋_GB2312" w:cs="仿宋_GB2312"/>
                <w:spacing w:val="-2"/>
                <w:szCs w:val="21"/>
              </w:rPr>
              <w:t>4.6</w:t>
            </w:r>
          </w:p>
        </w:tc>
        <w:tc>
          <w:tcPr>
            <w:tcW w:w="951" w:type="dxa"/>
          </w:tcPr>
          <w:p>
            <w:pPr>
              <w:spacing w:before="77" w:line="219" w:lineRule="auto"/>
              <w:jc w:val="center"/>
              <w:rPr>
                <w:rFonts w:hint="default" w:ascii="仿宋_GB2312" w:hAnsi="仿宋_GB2312" w:eastAsia="仿宋_GB2312" w:cs="仿宋_GB2312"/>
                <w:spacing w:val="-2"/>
                <w:szCs w:val="21"/>
                <w:lang w:val="en-US" w:eastAsia="zh-CN"/>
              </w:rPr>
            </w:pPr>
            <w:r>
              <w:rPr>
                <w:rFonts w:hint="eastAsia" w:ascii="仿宋_GB2312" w:hAnsi="仿宋_GB2312" w:eastAsia="仿宋_GB2312" w:cs="仿宋_GB2312"/>
                <w:spacing w:val="-2"/>
                <w:szCs w:val="21"/>
                <w:lang w:val="en-US" w:eastAsia="zh-CN"/>
              </w:rPr>
              <w:t>3.18</w:t>
            </w:r>
          </w:p>
        </w:tc>
        <w:tc>
          <w:tcPr>
            <w:tcW w:w="2469" w:type="dxa"/>
            <w:vAlign w:val="center"/>
          </w:tcPr>
          <w:p>
            <w:pPr>
              <w:spacing w:before="77" w:line="219" w:lineRule="auto"/>
              <w:jc w:val="center"/>
              <w:rPr>
                <w:rFonts w:ascii="仿宋_GB2312" w:hAnsi="仿宋_GB2312" w:eastAsia="仿宋_GB2312" w:cs="仿宋_GB2312"/>
                <w:spacing w:val="-2"/>
                <w:szCs w:val="21"/>
              </w:rPr>
            </w:pPr>
            <w:r>
              <w:rPr>
                <w:rFonts w:hint="eastAsia" w:ascii="仿宋_GB2312" w:hAnsi="仿宋_GB2312" w:eastAsia="仿宋_GB2312" w:cs="仿宋_GB2312"/>
                <w:spacing w:val="-2"/>
                <w:szCs w:val="21"/>
                <w:lang w:val="en-US" w:eastAsia="zh-CN"/>
              </w:rPr>
              <w:t>69.13</w:t>
            </w:r>
            <w:r>
              <w:rPr>
                <w:rFonts w:hint="eastAsia" w:ascii="仿宋_GB2312" w:hAnsi="仿宋_GB2312" w:eastAsia="仿宋_GB2312" w:cs="仿宋_GB2312"/>
                <w:spacing w:val="-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49" w:type="dxa"/>
            <w:gridSpan w:val="2"/>
            <w:vMerge w:val="continue"/>
            <w:tcBorders>
              <w:top w:val="nil"/>
              <w:bottom w:val="nil"/>
            </w:tcBorders>
          </w:tcPr>
          <w:p>
            <w:pPr>
              <w:rPr>
                <w:rFonts w:ascii="仿宋_GB2312" w:hAnsi="仿宋_GB2312" w:eastAsia="仿宋_GB2312" w:cs="仿宋_GB2312"/>
                <w:szCs w:val="21"/>
              </w:rPr>
            </w:pPr>
          </w:p>
        </w:tc>
        <w:tc>
          <w:tcPr>
            <w:tcW w:w="1777" w:type="dxa"/>
            <w:gridSpan w:val="2"/>
          </w:tcPr>
          <w:p>
            <w:pPr>
              <w:spacing w:before="109" w:line="219" w:lineRule="auto"/>
              <w:ind w:left="151"/>
              <w:rPr>
                <w:rFonts w:ascii="仿宋_GB2312" w:hAnsi="仿宋_GB2312" w:eastAsia="仿宋_GB2312" w:cs="仿宋_GB2312"/>
                <w:szCs w:val="21"/>
              </w:rPr>
            </w:pPr>
            <w:r>
              <w:rPr>
                <w:rFonts w:hint="eastAsia" w:ascii="仿宋_GB2312" w:hAnsi="仿宋_GB2312" w:eastAsia="仿宋_GB2312" w:cs="仿宋_GB2312"/>
                <w:szCs w:val="21"/>
              </w:rPr>
              <w:t>(一)财政拨款小计</w:t>
            </w:r>
          </w:p>
        </w:tc>
        <w:tc>
          <w:tcPr>
            <w:tcW w:w="1308" w:type="dxa"/>
          </w:tcPr>
          <w:p>
            <w:pPr>
              <w:spacing w:before="77" w:line="219"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4.6</w:t>
            </w:r>
          </w:p>
        </w:tc>
        <w:tc>
          <w:tcPr>
            <w:tcW w:w="1145" w:type="dxa"/>
          </w:tcPr>
          <w:p>
            <w:pPr>
              <w:spacing w:before="77" w:line="219"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4.6</w:t>
            </w:r>
          </w:p>
        </w:tc>
        <w:tc>
          <w:tcPr>
            <w:tcW w:w="951" w:type="dxa"/>
          </w:tcPr>
          <w:p>
            <w:pPr>
              <w:spacing w:before="77" w:line="219" w:lineRule="auto"/>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3.18</w:t>
            </w:r>
          </w:p>
        </w:tc>
        <w:tc>
          <w:tcPr>
            <w:tcW w:w="246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pacing w:val="-2"/>
                <w:szCs w:val="21"/>
                <w:lang w:val="en-US" w:eastAsia="zh-CN"/>
              </w:rPr>
              <w:t>69.13</w:t>
            </w:r>
            <w:r>
              <w:rPr>
                <w:rFonts w:hint="eastAsia" w:ascii="仿宋_GB2312" w:hAnsi="仿宋_GB2312" w:eastAsia="仿宋_GB2312" w:cs="仿宋_GB2312"/>
                <w:spacing w:val="-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tcPr>
          <w:p>
            <w:pPr>
              <w:rPr>
                <w:rFonts w:ascii="仿宋_GB2312" w:hAnsi="仿宋_GB2312" w:eastAsia="仿宋_GB2312" w:cs="仿宋_GB2312"/>
                <w:szCs w:val="21"/>
              </w:rPr>
            </w:pPr>
          </w:p>
        </w:tc>
        <w:tc>
          <w:tcPr>
            <w:tcW w:w="1777" w:type="dxa"/>
            <w:gridSpan w:val="2"/>
          </w:tcPr>
          <w:p>
            <w:pPr>
              <w:spacing w:before="80" w:line="219" w:lineRule="auto"/>
              <w:ind w:left="151"/>
              <w:rPr>
                <w:rFonts w:ascii="仿宋_GB2312" w:hAnsi="仿宋_GB2312" w:eastAsia="仿宋_GB2312" w:cs="仿宋_GB2312"/>
                <w:szCs w:val="21"/>
              </w:rPr>
            </w:pPr>
            <w:r>
              <w:rPr>
                <w:rFonts w:hint="eastAsia" w:ascii="仿宋_GB2312" w:hAnsi="仿宋_GB2312" w:eastAsia="仿宋_GB2312" w:cs="仿宋_GB2312"/>
                <w:szCs w:val="21"/>
              </w:rPr>
              <w:t>1.一般公共预算</w:t>
            </w:r>
          </w:p>
        </w:tc>
        <w:tc>
          <w:tcPr>
            <w:tcW w:w="1308" w:type="dxa"/>
          </w:tcPr>
          <w:p>
            <w:pPr>
              <w:spacing w:before="77" w:line="219"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4.6</w:t>
            </w:r>
          </w:p>
        </w:tc>
        <w:tc>
          <w:tcPr>
            <w:tcW w:w="1145" w:type="dxa"/>
          </w:tcPr>
          <w:p>
            <w:pPr>
              <w:spacing w:before="77" w:line="219"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4.6</w:t>
            </w:r>
          </w:p>
        </w:tc>
        <w:tc>
          <w:tcPr>
            <w:tcW w:w="951" w:type="dxa"/>
          </w:tcPr>
          <w:p>
            <w:pPr>
              <w:spacing w:before="77" w:line="219" w:lineRule="auto"/>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3.18</w:t>
            </w:r>
          </w:p>
        </w:tc>
        <w:tc>
          <w:tcPr>
            <w:tcW w:w="246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pacing w:val="-2"/>
                <w:szCs w:val="21"/>
                <w:lang w:val="en-US" w:eastAsia="zh-CN"/>
              </w:rPr>
              <w:t>69.13</w:t>
            </w:r>
            <w:r>
              <w:rPr>
                <w:rFonts w:hint="eastAsia" w:ascii="仿宋_GB2312" w:hAnsi="仿宋_GB2312" w:eastAsia="仿宋_GB2312" w:cs="仿宋_GB2312"/>
                <w:spacing w:val="-2"/>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49" w:type="dxa"/>
            <w:gridSpan w:val="2"/>
            <w:vMerge w:val="continue"/>
            <w:tcBorders>
              <w:top w:val="nil"/>
              <w:bottom w:val="nil"/>
            </w:tcBorders>
          </w:tcPr>
          <w:p>
            <w:pPr>
              <w:rPr>
                <w:rFonts w:ascii="仿宋_GB2312" w:hAnsi="仿宋_GB2312" w:eastAsia="仿宋_GB2312" w:cs="仿宋_GB2312"/>
                <w:szCs w:val="21"/>
              </w:rPr>
            </w:pPr>
          </w:p>
        </w:tc>
        <w:tc>
          <w:tcPr>
            <w:tcW w:w="1777" w:type="dxa"/>
            <w:gridSpan w:val="2"/>
          </w:tcPr>
          <w:p>
            <w:pPr>
              <w:spacing w:before="78" w:line="219" w:lineRule="auto"/>
              <w:ind w:left="151"/>
              <w:rPr>
                <w:rFonts w:ascii="仿宋_GB2312" w:hAnsi="仿宋_GB2312" w:eastAsia="仿宋_GB2312" w:cs="仿宋_GB2312"/>
                <w:szCs w:val="21"/>
              </w:rPr>
            </w:pPr>
            <w:r>
              <w:rPr>
                <w:rFonts w:hint="eastAsia" w:ascii="仿宋_GB2312" w:hAnsi="仿宋_GB2312" w:eastAsia="仿宋_GB2312" w:cs="仿宋_GB2312"/>
                <w:spacing w:val="-2"/>
                <w:szCs w:val="21"/>
              </w:rPr>
              <w:t>2.政府性基金</w:t>
            </w:r>
          </w:p>
        </w:tc>
        <w:tc>
          <w:tcPr>
            <w:tcW w:w="1308" w:type="dxa"/>
          </w:tcPr>
          <w:p>
            <w:pPr>
              <w:rPr>
                <w:rFonts w:ascii="仿宋_GB2312" w:hAnsi="仿宋_GB2312" w:eastAsia="仿宋_GB2312" w:cs="仿宋_GB2312"/>
                <w:szCs w:val="21"/>
              </w:rPr>
            </w:pPr>
          </w:p>
        </w:tc>
        <w:tc>
          <w:tcPr>
            <w:tcW w:w="1145" w:type="dxa"/>
          </w:tcPr>
          <w:p>
            <w:pPr>
              <w:rPr>
                <w:rFonts w:ascii="仿宋_GB2312" w:hAnsi="仿宋_GB2312" w:eastAsia="仿宋_GB2312" w:cs="仿宋_GB2312"/>
                <w:szCs w:val="21"/>
              </w:rPr>
            </w:pPr>
          </w:p>
        </w:tc>
        <w:tc>
          <w:tcPr>
            <w:tcW w:w="951" w:type="dxa"/>
          </w:tcPr>
          <w:p>
            <w:pPr>
              <w:rPr>
                <w:rFonts w:ascii="仿宋_GB2312" w:hAnsi="仿宋_GB2312" w:eastAsia="仿宋_GB2312" w:cs="仿宋_GB2312"/>
                <w:szCs w:val="21"/>
              </w:rPr>
            </w:pPr>
          </w:p>
        </w:tc>
        <w:tc>
          <w:tcPr>
            <w:tcW w:w="2469" w:type="dxa"/>
          </w:tcPr>
          <w:p>
            <w:pP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49" w:type="dxa"/>
            <w:gridSpan w:val="2"/>
            <w:vMerge w:val="continue"/>
            <w:tcBorders>
              <w:top w:val="nil"/>
              <w:bottom w:val="nil"/>
            </w:tcBorders>
          </w:tcPr>
          <w:p>
            <w:pPr>
              <w:rPr>
                <w:rFonts w:ascii="仿宋_GB2312" w:hAnsi="仿宋_GB2312" w:eastAsia="仿宋_GB2312" w:cs="仿宋_GB2312"/>
                <w:szCs w:val="21"/>
              </w:rPr>
            </w:pPr>
          </w:p>
        </w:tc>
        <w:tc>
          <w:tcPr>
            <w:tcW w:w="1777" w:type="dxa"/>
            <w:gridSpan w:val="2"/>
          </w:tcPr>
          <w:p>
            <w:pPr>
              <w:spacing w:before="119" w:line="219" w:lineRule="auto"/>
              <w:ind w:left="151"/>
              <w:rPr>
                <w:rFonts w:ascii="仿宋_GB2312" w:hAnsi="仿宋_GB2312" w:eastAsia="仿宋_GB2312" w:cs="仿宋_GB2312"/>
                <w:szCs w:val="21"/>
              </w:rPr>
            </w:pPr>
            <w:r>
              <w:rPr>
                <w:rFonts w:hint="eastAsia" w:ascii="仿宋_GB2312" w:hAnsi="仿宋_GB2312" w:eastAsia="仿宋_GB2312" w:cs="仿宋_GB2312"/>
                <w:spacing w:val="-1"/>
                <w:szCs w:val="21"/>
              </w:rPr>
              <w:t>3.国有资本经营预算</w:t>
            </w:r>
          </w:p>
        </w:tc>
        <w:tc>
          <w:tcPr>
            <w:tcW w:w="1308" w:type="dxa"/>
          </w:tcPr>
          <w:p>
            <w:pPr>
              <w:rPr>
                <w:rFonts w:ascii="仿宋_GB2312" w:hAnsi="仿宋_GB2312" w:eastAsia="仿宋_GB2312" w:cs="仿宋_GB2312"/>
                <w:szCs w:val="21"/>
              </w:rPr>
            </w:pPr>
          </w:p>
        </w:tc>
        <w:tc>
          <w:tcPr>
            <w:tcW w:w="1145" w:type="dxa"/>
          </w:tcPr>
          <w:p>
            <w:pPr>
              <w:rPr>
                <w:rFonts w:ascii="仿宋_GB2312" w:hAnsi="仿宋_GB2312" w:eastAsia="仿宋_GB2312" w:cs="仿宋_GB2312"/>
                <w:szCs w:val="21"/>
              </w:rPr>
            </w:pPr>
          </w:p>
        </w:tc>
        <w:tc>
          <w:tcPr>
            <w:tcW w:w="951" w:type="dxa"/>
          </w:tcPr>
          <w:p>
            <w:pPr>
              <w:rPr>
                <w:rFonts w:ascii="仿宋_GB2312" w:hAnsi="仿宋_GB2312" w:eastAsia="仿宋_GB2312" w:cs="仿宋_GB2312"/>
                <w:szCs w:val="21"/>
              </w:rPr>
            </w:pPr>
          </w:p>
        </w:tc>
        <w:tc>
          <w:tcPr>
            <w:tcW w:w="2469" w:type="dxa"/>
          </w:tcPr>
          <w:p>
            <w:pP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tcPr>
          <w:p>
            <w:pPr>
              <w:rPr>
                <w:rFonts w:ascii="仿宋_GB2312" w:hAnsi="仿宋_GB2312" w:eastAsia="仿宋_GB2312" w:cs="仿宋_GB2312"/>
                <w:szCs w:val="21"/>
              </w:rPr>
            </w:pPr>
          </w:p>
        </w:tc>
        <w:tc>
          <w:tcPr>
            <w:tcW w:w="1777" w:type="dxa"/>
            <w:gridSpan w:val="2"/>
          </w:tcPr>
          <w:p>
            <w:pPr>
              <w:spacing w:before="82" w:line="219" w:lineRule="auto"/>
              <w:ind w:left="151"/>
              <w:rPr>
                <w:rFonts w:ascii="仿宋_GB2312" w:hAnsi="仿宋_GB2312" w:eastAsia="仿宋_GB2312" w:cs="仿宋_GB2312"/>
                <w:szCs w:val="21"/>
              </w:rPr>
            </w:pPr>
            <w:r>
              <w:rPr>
                <w:rFonts w:hint="eastAsia" w:ascii="仿宋_GB2312" w:hAnsi="仿宋_GB2312" w:eastAsia="仿宋_GB2312" w:cs="仿宋_GB2312"/>
                <w:spacing w:val="-1"/>
                <w:szCs w:val="21"/>
              </w:rPr>
              <w:t>4.社保基金</w:t>
            </w:r>
          </w:p>
        </w:tc>
        <w:tc>
          <w:tcPr>
            <w:tcW w:w="1308" w:type="dxa"/>
          </w:tcPr>
          <w:p>
            <w:pPr>
              <w:rPr>
                <w:rFonts w:ascii="仿宋_GB2312" w:hAnsi="仿宋_GB2312" w:eastAsia="仿宋_GB2312" w:cs="仿宋_GB2312"/>
                <w:szCs w:val="21"/>
              </w:rPr>
            </w:pPr>
          </w:p>
        </w:tc>
        <w:tc>
          <w:tcPr>
            <w:tcW w:w="1145" w:type="dxa"/>
          </w:tcPr>
          <w:p>
            <w:pPr>
              <w:rPr>
                <w:rFonts w:ascii="仿宋_GB2312" w:hAnsi="仿宋_GB2312" w:eastAsia="仿宋_GB2312" w:cs="仿宋_GB2312"/>
                <w:szCs w:val="21"/>
              </w:rPr>
            </w:pPr>
          </w:p>
        </w:tc>
        <w:tc>
          <w:tcPr>
            <w:tcW w:w="951" w:type="dxa"/>
          </w:tcPr>
          <w:p>
            <w:pPr>
              <w:rPr>
                <w:rFonts w:ascii="仿宋_GB2312" w:hAnsi="仿宋_GB2312" w:eastAsia="仿宋_GB2312" w:cs="仿宋_GB2312"/>
                <w:szCs w:val="21"/>
              </w:rPr>
            </w:pPr>
          </w:p>
        </w:tc>
        <w:tc>
          <w:tcPr>
            <w:tcW w:w="2469" w:type="dxa"/>
          </w:tcPr>
          <w:p>
            <w:pP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49" w:type="dxa"/>
            <w:gridSpan w:val="2"/>
            <w:vMerge w:val="continue"/>
            <w:tcBorders>
              <w:top w:val="nil"/>
            </w:tcBorders>
          </w:tcPr>
          <w:p>
            <w:pPr>
              <w:rPr>
                <w:rFonts w:ascii="仿宋_GB2312" w:hAnsi="仿宋_GB2312" w:eastAsia="仿宋_GB2312" w:cs="仿宋_GB2312"/>
                <w:szCs w:val="21"/>
              </w:rPr>
            </w:pPr>
          </w:p>
        </w:tc>
        <w:tc>
          <w:tcPr>
            <w:tcW w:w="1777" w:type="dxa"/>
            <w:gridSpan w:val="2"/>
          </w:tcPr>
          <w:p>
            <w:pPr>
              <w:spacing w:before="112" w:line="220" w:lineRule="auto"/>
              <w:ind w:left="151"/>
              <w:rPr>
                <w:rFonts w:ascii="仿宋_GB2312" w:hAnsi="仿宋_GB2312" w:eastAsia="仿宋_GB2312" w:cs="仿宋_GB2312"/>
                <w:szCs w:val="21"/>
              </w:rPr>
            </w:pPr>
            <w:r>
              <w:rPr>
                <w:rFonts w:hint="eastAsia" w:ascii="仿宋_GB2312" w:hAnsi="仿宋_GB2312" w:eastAsia="仿宋_GB2312" w:cs="仿宋_GB2312"/>
                <w:spacing w:val="1"/>
                <w:szCs w:val="21"/>
              </w:rPr>
              <w:t>(二)其他资金</w:t>
            </w:r>
          </w:p>
        </w:tc>
        <w:tc>
          <w:tcPr>
            <w:tcW w:w="1308" w:type="dxa"/>
          </w:tcPr>
          <w:p>
            <w:pPr>
              <w:rPr>
                <w:rFonts w:ascii="仿宋_GB2312" w:hAnsi="仿宋_GB2312" w:eastAsia="仿宋_GB2312" w:cs="仿宋_GB2312"/>
                <w:szCs w:val="21"/>
              </w:rPr>
            </w:pPr>
          </w:p>
        </w:tc>
        <w:tc>
          <w:tcPr>
            <w:tcW w:w="1145" w:type="dxa"/>
          </w:tcPr>
          <w:p>
            <w:pPr>
              <w:rPr>
                <w:rFonts w:ascii="仿宋_GB2312" w:hAnsi="仿宋_GB2312" w:eastAsia="仿宋_GB2312" w:cs="仿宋_GB2312"/>
                <w:szCs w:val="21"/>
              </w:rPr>
            </w:pPr>
          </w:p>
        </w:tc>
        <w:tc>
          <w:tcPr>
            <w:tcW w:w="951" w:type="dxa"/>
          </w:tcPr>
          <w:p>
            <w:pPr>
              <w:rPr>
                <w:rFonts w:ascii="仿宋_GB2312" w:hAnsi="仿宋_GB2312" w:eastAsia="仿宋_GB2312" w:cs="仿宋_GB2312"/>
                <w:szCs w:val="21"/>
              </w:rPr>
            </w:pPr>
          </w:p>
        </w:tc>
        <w:tc>
          <w:tcPr>
            <w:tcW w:w="2469" w:type="dxa"/>
          </w:tcPr>
          <w:p>
            <w:pP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97" w:type="dxa"/>
            <w:vMerge w:val="restart"/>
            <w:tcBorders>
              <w:bottom w:val="nil"/>
            </w:tcBorders>
          </w:tcPr>
          <w:p>
            <w:pPr>
              <w:spacing w:line="385" w:lineRule="auto"/>
              <w:rPr>
                <w:rFonts w:ascii="仿宋_GB2312" w:hAnsi="仿宋_GB2312" w:eastAsia="仿宋_GB2312" w:cs="仿宋_GB2312"/>
                <w:szCs w:val="21"/>
              </w:rPr>
            </w:pPr>
          </w:p>
          <w:p>
            <w:pPr>
              <w:spacing w:before="55" w:line="219" w:lineRule="auto"/>
              <w:ind w:left="194" w:right="2" w:hanging="139"/>
              <w:rPr>
                <w:rFonts w:ascii="仿宋_GB2312" w:hAnsi="仿宋_GB2312" w:eastAsia="仿宋_GB2312" w:cs="仿宋_GB2312"/>
                <w:szCs w:val="21"/>
              </w:rPr>
            </w:pPr>
            <w:r>
              <w:rPr>
                <w:rFonts w:hint="eastAsia" w:ascii="仿宋_GB2312" w:hAnsi="仿宋_GB2312" w:eastAsia="仿宋_GB2312" w:cs="仿宋_GB2312"/>
                <w:spacing w:val="-11"/>
                <w:szCs w:val="21"/>
              </w:rPr>
              <w:t>年度总体</w:t>
            </w:r>
            <w:r>
              <w:rPr>
                <w:rFonts w:hint="eastAsia" w:ascii="仿宋_GB2312" w:hAnsi="仿宋_GB2312" w:eastAsia="仿宋_GB2312" w:cs="仿宋_GB2312"/>
                <w:szCs w:val="21"/>
              </w:rPr>
              <w:t xml:space="preserve"> </w:t>
            </w:r>
            <w:r>
              <w:rPr>
                <w:rFonts w:hint="eastAsia" w:ascii="仿宋_GB2312" w:hAnsi="仿宋_GB2312" w:eastAsia="仿宋_GB2312" w:cs="仿宋_GB2312"/>
                <w:spacing w:val="6"/>
                <w:szCs w:val="21"/>
              </w:rPr>
              <w:t>目标</w:t>
            </w:r>
          </w:p>
        </w:tc>
        <w:tc>
          <w:tcPr>
            <w:tcW w:w="5933" w:type="dxa"/>
            <w:gridSpan w:val="6"/>
          </w:tcPr>
          <w:p>
            <w:pPr>
              <w:spacing w:before="183" w:line="220"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预期目标</w:t>
            </w:r>
          </w:p>
        </w:tc>
        <w:tc>
          <w:tcPr>
            <w:tcW w:w="2469" w:type="dxa"/>
          </w:tcPr>
          <w:p>
            <w:pPr>
              <w:spacing w:before="183" w:line="220" w:lineRule="auto"/>
              <w:jc w:val="center"/>
              <w:rPr>
                <w:rFonts w:ascii="仿宋_GB2312" w:hAnsi="仿宋_GB2312" w:eastAsia="仿宋_GB2312" w:cs="仿宋_GB2312"/>
                <w:spacing w:val="-2"/>
                <w:szCs w:val="21"/>
              </w:rPr>
            </w:pPr>
            <w:r>
              <w:rPr>
                <w:rFonts w:hint="eastAsia" w:ascii="仿宋_GB2312" w:hAnsi="仿宋_GB2312" w:eastAsia="仿宋_GB2312" w:cs="仿宋_GB2312"/>
                <w:spacing w:val="-2"/>
                <w:szCs w:val="21"/>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4" w:hRule="atLeast"/>
        </w:trPr>
        <w:tc>
          <w:tcPr>
            <w:tcW w:w="697" w:type="dxa"/>
            <w:vMerge w:val="continue"/>
            <w:tcBorders>
              <w:top w:val="nil"/>
            </w:tcBorders>
          </w:tcPr>
          <w:p>
            <w:pPr>
              <w:rPr>
                <w:rFonts w:ascii="仿宋_GB2312" w:hAnsi="仿宋_GB2312" w:eastAsia="仿宋_GB2312" w:cs="仿宋_GB2312"/>
                <w:szCs w:val="21"/>
              </w:rPr>
            </w:pPr>
          </w:p>
        </w:tc>
        <w:tc>
          <w:tcPr>
            <w:tcW w:w="5933" w:type="dxa"/>
            <w:gridSpan w:val="6"/>
            <w:vAlign w:val="center"/>
          </w:tcPr>
          <w:p>
            <w:pPr>
              <w:rPr>
                <w:rFonts w:ascii="仿宋_GB2312" w:hAnsi="仿宋_GB2312" w:eastAsia="仿宋_GB2312" w:cs="仿宋_GB2312"/>
                <w:szCs w:val="21"/>
              </w:rPr>
            </w:pPr>
            <w:r>
              <w:rPr>
                <w:rFonts w:hint="eastAsia" w:ascii="仿宋_GB2312" w:hAnsi="仿宋_GB2312" w:eastAsia="仿宋_GB2312" w:cs="仿宋_GB2312"/>
                <w:spacing w:val="-2"/>
                <w:szCs w:val="21"/>
                <w:lang w:val="zh-CN"/>
              </w:rPr>
              <w:t xml:space="preserve">    中央纪检监察转移支付资金，主要用于强化监督执纪问责和监督调查处置职能，围绕现代化建设大局发挥监督保障作用，以便更好的服务民生大众。</w:t>
            </w:r>
          </w:p>
        </w:tc>
        <w:tc>
          <w:tcPr>
            <w:tcW w:w="2469" w:type="dxa"/>
            <w:vAlign w:val="center"/>
          </w:tcPr>
          <w:p>
            <w:pPr>
              <w:rPr>
                <w:rFonts w:ascii="仿宋_GB2312" w:hAnsi="仿宋_GB2312" w:eastAsia="仿宋_GB2312" w:cs="仿宋_GB2312"/>
                <w:spacing w:val="-2"/>
                <w:szCs w:val="21"/>
              </w:rPr>
            </w:pPr>
            <w:r>
              <w:rPr>
                <w:rFonts w:hint="eastAsia" w:ascii="仿宋_GB2312" w:hAnsi="仿宋_GB2312" w:eastAsia="仿宋_GB2312" w:cs="仿宋_GB2312"/>
                <w:spacing w:val="-2"/>
                <w:szCs w:val="21"/>
                <w:lang w:val="zh-CN"/>
              </w:rPr>
              <w:t xml:space="preserve">   中央纪检监察转移支付资金，主要用于强化监督执纪问责和监督调查处置职能，围绕现代化建设大局发挥监督保障作用，以便更好的服务民生大众。</w:t>
            </w:r>
          </w:p>
          <w:p>
            <w:pPr>
              <w:spacing w:before="183" w:line="220" w:lineRule="auto"/>
              <w:rPr>
                <w:rFonts w:ascii="仿宋_GB2312" w:hAnsi="仿宋_GB2312" w:eastAsia="仿宋_GB2312" w:cs="仿宋_GB2312"/>
                <w:spacing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697" w:type="dxa"/>
            <w:vMerge w:val="restart"/>
          </w:tcPr>
          <w:p>
            <w:pPr>
              <w:spacing w:line="253" w:lineRule="auto"/>
              <w:jc w:val="center"/>
              <w:rPr>
                <w:rFonts w:ascii="仿宋_GB2312" w:hAnsi="仿宋_GB2312" w:eastAsia="仿宋_GB2312" w:cs="仿宋_GB2312"/>
                <w:szCs w:val="21"/>
              </w:rPr>
            </w:pPr>
          </w:p>
          <w:p>
            <w:pPr>
              <w:spacing w:line="253" w:lineRule="auto"/>
              <w:jc w:val="center"/>
              <w:rPr>
                <w:rFonts w:ascii="仿宋_GB2312" w:hAnsi="仿宋_GB2312" w:eastAsia="仿宋_GB2312" w:cs="仿宋_GB2312"/>
                <w:szCs w:val="21"/>
              </w:rPr>
            </w:pPr>
          </w:p>
          <w:p>
            <w:pPr>
              <w:spacing w:line="253"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before="56" w:line="220" w:lineRule="auto"/>
              <w:ind w:left="55"/>
              <w:jc w:val="center"/>
              <w:rPr>
                <w:rFonts w:ascii="仿宋_GB2312" w:hAnsi="仿宋_GB2312" w:eastAsia="仿宋_GB2312" w:cs="仿宋_GB2312"/>
                <w:szCs w:val="21"/>
              </w:rPr>
            </w:pPr>
            <w:r>
              <w:rPr>
                <w:rFonts w:hint="eastAsia" w:ascii="仿宋_GB2312" w:hAnsi="仿宋_GB2312" w:eastAsia="仿宋_GB2312" w:cs="仿宋_GB2312"/>
                <w:spacing w:val="-11"/>
                <w:szCs w:val="21"/>
              </w:rPr>
              <w:t>绩效指标</w:t>
            </w:r>
          </w:p>
        </w:tc>
        <w:tc>
          <w:tcPr>
            <w:tcW w:w="752" w:type="dxa"/>
            <w:tcBorders>
              <w:bottom w:val="single" w:color="auto" w:sz="4" w:space="0"/>
            </w:tcBorders>
          </w:tcPr>
          <w:p>
            <w:pPr>
              <w:spacing w:before="155" w:line="220" w:lineRule="auto"/>
              <w:ind w:left="40"/>
              <w:jc w:val="center"/>
              <w:rPr>
                <w:rFonts w:ascii="仿宋_GB2312" w:hAnsi="仿宋_GB2312" w:eastAsia="仿宋_GB2312" w:cs="仿宋_GB2312"/>
                <w:szCs w:val="21"/>
              </w:rPr>
            </w:pPr>
            <w:r>
              <w:rPr>
                <w:rFonts w:hint="eastAsia" w:ascii="仿宋_GB2312" w:hAnsi="仿宋_GB2312" w:eastAsia="仿宋_GB2312" w:cs="仿宋_GB2312"/>
                <w:spacing w:val="-2"/>
                <w:szCs w:val="21"/>
              </w:rPr>
              <w:t>一级指标</w:t>
            </w:r>
          </w:p>
        </w:tc>
        <w:tc>
          <w:tcPr>
            <w:tcW w:w="999" w:type="dxa"/>
          </w:tcPr>
          <w:p>
            <w:pPr>
              <w:spacing w:before="155" w:line="220"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二级指标</w:t>
            </w:r>
          </w:p>
        </w:tc>
        <w:tc>
          <w:tcPr>
            <w:tcW w:w="2086" w:type="dxa"/>
            <w:gridSpan w:val="2"/>
          </w:tcPr>
          <w:p>
            <w:pPr>
              <w:spacing w:before="155" w:line="220"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三级指标</w:t>
            </w:r>
          </w:p>
        </w:tc>
        <w:tc>
          <w:tcPr>
            <w:tcW w:w="1145" w:type="dxa"/>
          </w:tcPr>
          <w:p>
            <w:pPr>
              <w:spacing w:before="155" w:line="219"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年度指标值</w:t>
            </w:r>
          </w:p>
        </w:tc>
        <w:tc>
          <w:tcPr>
            <w:tcW w:w="951" w:type="dxa"/>
          </w:tcPr>
          <w:p>
            <w:pPr>
              <w:spacing w:before="155" w:line="219"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实际完成值</w:t>
            </w:r>
          </w:p>
        </w:tc>
        <w:tc>
          <w:tcPr>
            <w:tcW w:w="2469" w:type="dxa"/>
          </w:tcPr>
          <w:p>
            <w:pPr>
              <w:spacing w:before="75" w:line="227" w:lineRule="auto"/>
              <w:jc w:val="center"/>
              <w:rPr>
                <w:rFonts w:ascii="仿宋_GB2312" w:hAnsi="仿宋_GB2312" w:eastAsia="仿宋_GB2312" w:cs="仿宋_GB2312"/>
                <w:szCs w:val="21"/>
              </w:rPr>
            </w:pPr>
            <w:r>
              <w:rPr>
                <w:rFonts w:hint="eastAsia" w:ascii="仿宋_GB2312" w:hAnsi="仿宋_GB2312" w:eastAsia="仿宋_GB2312" w:cs="仿宋_GB2312"/>
                <w:szCs w:val="21"/>
              </w:rPr>
              <w:t>偏差原因分析及</w:t>
            </w:r>
            <w:r>
              <w:rPr>
                <w:rFonts w:hint="eastAsia" w:ascii="仿宋_GB2312" w:hAnsi="仿宋_GB2312" w:eastAsia="仿宋_GB2312" w:cs="仿宋_GB2312"/>
                <w:spacing w:val="11"/>
                <w:szCs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restart"/>
            <w:tcBorders>
              <w:top w:val="single" w:color="auto" w:sz="4" w:space="0"/>
              <w:left w:val="single" w:color="auto" w:sz="4" w:space="0"/>
              <w:bottom w:val="single" w:color="auto" w:sz="4" w:space="0"/>
              <w:right w:val="single" w:color="auto" w:sz="4" w:space="0"/>
            </w:tcBorders>
            <w:vAlign w:val="center"/>
          </w:tcPr>
          <w:p>
            <w:pPr>
              <w:spacing w:line="286" w:lineRule="auto"/>
              <w:jc w:val="center"/>
              <w:rPr>
                <w:rFonts w:ascii="仿宋_GB2312" w:hAnsi="仿宋_GB2312" w:eastAsia="仿宋_GB2312" w:cs="仿宋_GB2312"/>
                <w:szCs w:val="21"/>
              </w:rPr>
            </w:pPr>
          </w:p>
          <w:p>
            <w:pPr>
              <w:spacing w:line="286" w:lineRule="auto"/>
              <w:jc w:val="center"/>
              <w:rPr>
                <w:rFonts w:ascii="仿宋_GB2312" w:hAnsi="仿宋_GB2312" w:eastAsia="仿宋_GB2312" w:cs="仿宋_GB2312"/>
                <w:szCs w:val="21"/>
              </w:rPr>
            </w:pPr>
          </w:p>
          <w:p>
            <w:pPr>
              <w:spacing w:line="286" w:lineRule="auto"/>
              <w:jc w:val="center"/>
              <w:rPr>
                <w:rFonts w:ascii="仿宋_GB2312" w:hAnsi="仿宋_GB2312" w:eastAsia="仿宋_GB2312" w:cs="仿宋_GB2312"/>
                <w:szCs w:val="21"/>
              </w:rPr>
            </w:pPr>
          </w:p>
          <w:p>
            <w:pPr>
              <w:spacing w:line="286" w:lineRule="auto"/>
              <w:jc w:val="center"/>
              <w:rPr>
                <w:rFonts w:ascii="仿宋_GB2312" w:hAnsi="仿宋_GB2312" w:eastAsia="仿宋_GB2312" w:cs="仿宋_GB2312"/>
                <w:szCs w:val="21"/>
              </w:rPr>
            </w:pPr>
          </w:p>
          <w:p>
            <w:pPr>
              <w:spacing w:line="287" w:lineRule="auto"/>
              <w:jc w:val="center"/>
              <w:rPr>
                <w:rFonts w:ascii="仿宋_GB2312" w:hAnsi="仿宋_GB2312" w:eastAsia="仿宋_GB2312" w:cs="仿宋_GB2312"/>
                <w:szCs w:val="21"/>
              </w:rPr>
            </w:pPr>
          </w:p>
          <w:p>
            <w:pPr>
              <w:spacing w:before="56" w:line="219" w:lineRule="auto"/>
              <w:ind w:left="40"/>
              <w:jc w:val="center"/>
              <w:rPr>
                <w:rFonts w:ascii="仿宋_GB2312" w:hAnsi="仿宋_GB2312" w:eastAsia="仿宋_GB2312" w:cs="仿宋_GB2312"/>
                <w:szCs w:val="21"/>
              </w:rPr>
            </w:pPr>
            <w:r>
              <w:rPr>
                <w:rFonts w:hint="eastAsia" w:ascii="仿宋_GB2312" w:hAnsi="仿宋_GB2312" w:eastAsia="仿宋_GB2312" w:cs="仿宋_GB2312"/>
                <w:spacing w:val="-2"/>
                <w:szCs w:val="21"/>
              </w:rPr>
              <w:t>产出指标</w:t>
            </w:r>
          </w:p>
        </w:tc>
        <w:tc>
          <w:tcPr>
            <w:tcW w:w="999" w:type="dxa"/>
            <w:tcBorders>
              <w:left w:val="single" w:color="auto" w:sz="4" w:space="0"/>
              <w:bottom w:val="nil"/>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2086"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建设期限（月）</w:t>
            </w:r>
          </w:p>
        </w:tc>
        <w:tc>
          <w:tcPr>
            <w:tcW w:w="11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1月</w:t>
            </w:r>
          </w:p>
        </w:tc>
        <w:tc>
          <w:tcPr>
            <w:tcW w:w="9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1月</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999" w:type="dxa"/>
            <w:tcBorders>
              <w:left w:val="single" w:color="auto" w:sz="4" w:space="0"/>
            </w:tcBorders>
            <w:vAlign w:val="center"/>
          </w:tcPr>
          <w:p>
            <w:pPr>
              <w:spacing w:before="67" w:line="209" w:lineRule="auto"/>
              <w:ind w:left="23"/>
              <w:jc w:val="center"/>
              <w:rPr>
                <w:rFonts w:hint="eastAsia" w:ascii="仿宋_GB2312" w:hAnsi="仿宋_GB2312" w:eastAsia="仿宋_GB2312" w:cs="仿宋_GB2312"/>
                <w:szCs w:val="21"/>
              </w:rPr>
            </w:pPr>
            <w:r>
              <w:rPr>
                <w:rFonts w:hint="eastAsia" w:ascii="仿宋_GB2312" w:hAnsi="仿宋_GB2312" w:eastAsia="仿宋_GB2312" w:cs="仿宋_GB2312"/>
                <w:szCs w:val="21"/>
              </w:rPr>
              <w:t>时效指标</w:t>
            </w:r>
          </w:p>
        </w:tc>
        <w:tc>
          <w:tcPr>
            <w:tcW w:w="2086"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谈话室装修使用率</w:t>
            </w:r>
          </w:p>
        </w:tc>
        <w:tc>
          <w:tcPr>
            <w:tcW w:w="11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9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999" w:type="dxa"/>
            <w:tcBorders>
              <w:left w:val="single" w:color="auto" w:sz="4" w:space="0"/>
            </w:tcBorders>
            <w:vAlign w:val="center"/>
          </w:tcPr>
          <w:p>
            <w:pPr>
              <w:spacing w:before="67" w:line="209" w:lineRule="auto"/>
              <w:ind w:left="23"/>
              <w:jc w:val="center"/>
              <w:rPr>
                <w:rFonts w:hint="eastAsia" w:ascii="仿宋_GB2312" w:hAnsi="仿宋_GB2312" w:eastAsia="仿宋_GB2312" w:cs="仿宋_GB2312"/>
                <w:szCs w:val="21"/>
              </w:rPr>
            </w:pPr>
            <w:r>
              <w:rPr>
                <w:rFonts w:hint="eastAsia" w:ascii="仿宋_GB2312" w:hAnsi="仿宋_GB2312" w:eastAsia="仿宋_GB2312" w:cs="仿宋_GB2312"/>
                <w:szCs w:val="21"/>
              </w:rPr>
              <w:t>时效指标</w:t>
            </w:r>
          </w:p>
        </w:tc>
        <w:tc>
          <w:tcPr>
            <w:tcW w:w="2086" w:type="dxa"/>
            <w:gridSpan w:val="2"/>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谈话室装修及时率</w:t>
            </w:r>
          </w:p>
        </w:tc>
        <w:tc>
          <w:tcPr>
            <w:tcW w:w="11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9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100%</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999" w:type="dxa"/>
            <w:tcBorders>
              <w:left w:val="single" w:color="auto" w:sz="4" w:space="0"/>
              <w:bottom w:val="single" w:color="auto" w:sz="4" w:space="0"/>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2086" w:type="dxa"/>
            <w:gridSpan w:val="2"/>
            <w:tcBorders>
              <w:bottom w:val="single" w:color="auto" w:sz="4" w:space="0"/>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提升案件查办质效</w:t>
            </w:r>
          </w:p>
        </w:tc>
        <w:tc>
          <w:tcPr>
            <w:tcW w:w="1145"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定性</w:t>
            </w:r>
          </w:p>
        </w:tc>
        <w:tc>
          <w:tcPr>
            <w:tcW w:w="951"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有效</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质量达标情况</w:t>
            </w:r>
          </w:p>
        </w:tc>
        <w:tc>
          <w:tcPr>
            <w:tcW w:w="1145" w:type="dxa"/>
            <w:tcBorders>
              <w:left w:val="single" w:color="auto" w:sz="4" w:space="0"/>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951"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999" w:type="dxa"/>
            <w:tcBorders>
              <w:top w:val="single" w:color="auto" w:sz="4" w:space="0"/>
              <w:left w:val="single" w:color="auto" w:sz="4" w:space="0"/>
              <w:bottom w:val="single" w:color="auto" w:sz="4" w:space="0"/>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2086" w:type="dxa"/>
            <w:gridSpan w:val="2"/>
            <w:tcBorders>
              <w:top w:val="single" w:color="auto" w:sz="4" w:space="0"/>
              <w:bottom w:val="single" w:color="auto" w:sz="4" w:space="0"/>
            </w:tcBorders>
            <w:vAlign w:val="center"/>
          </w:tcPr>
          <w:p>
            <w:pPr>
              <w:spacing w:before="67" w:line="209" w:lineRule="auto"/>
              <w:ind w:left="23"/>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新建</w:t>
            </w:r>
            <w:r>
              <w:rPr>
                <w:rFonts w:hint="eastAsia" w:ascii="仿宋_GB2312" w:hAnsi="仿宋_GB2312" w:eastAsia="仿宋_GB2312" w:cs="仿宋_GB2312"/>
                <w:szCs w:val="21"/>
              </w:rPr>
              <w:t>谈话室</w:t>
            </w:r>
            <w:r>
              <w:rPr>
                <w:rFonts w:hint="eastAsia" w:ascii="仿宋_GB2312" w:hAnsi="仿宋_GB2312" w:eastAsia="仿宋_GB2312" w:cs="仿宋_GB2312"/>
                <w:szCs w:val="21"/>
                <w:lang w:eastAsia="zh-CN"/>
              </w:rPr>
              <w:t>间数</w:t>
            </w:r>
          </w:p>
        </w:tc>
        <w:tc>
          <w:tcPr>
            <w:tcW w:w="1145"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1间</w:t>
            </w:r>
          </w:p>
        </w:tc>
        <w:tc>
          <w:tcPr>
            <w:tcW w:w="951" w:type="dxa"/>
            <w:vAlign w:val="center"/>
          </w:tcPr>
          <w:p>
            <w:pPr>
              <w:spacing w:before="67" w:line="209" w:lineRule="auto"/>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1间</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67" w:line="209" w:lineRule="auto"/>
              <w:ind w:left="23"/>
              <w:jc w:val="center"/>
              <w:rPr>
                <w:rFonts w:hint="eastAsia" w:ascii="仿宋_GB2312" w:hAnsi="仿宋_GB2312" w:eastAsia="仿宋_GB2312" w:cs="仿宋_GB2312"/>
                <w:szCs w:val="21"/>
              </w:rPr>
            </w:pPr>
            <w:r>
              <w:rPr>
                <w:rFonts w:hint="eastAsia" w:ascii="仿宋_GB2312" w:hAnsi="仿宋_GB2312" w:eastAsia="仿宋_GB2312" w:cs="仿宋_GB2312"/>
                <w:szCs w:val="21"/>
              </w:rPr>
              <w:t>数量指标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监控主机台数</w:t>
            </w:r>
          </w:p>
        </w:tc>
        <w:tc>
          <w:tcPr>
            <w:tcW w:w="1145"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1台</w:t>
            </w:r>
          </w:p>
        </w:tc>
        <w:tc>
          <w:tcPr>
            <w:tcW w:w="9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1台</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67" w:line="209" w:lineRule="auto"/>
              <w:ind w:left="23"/>
              <w:jc w:val="center"/>
              <w:rPr>
                <w:rFonts w:hint="eastAsia" w:ascii="仿宋_GB2312" w:hAnsi="仿宋_GB2312" w:eastAsia="仿宋_GB2312" w:cs="仿宋_GB2312"/>
                <w:szCs w:val="21"/>
              </w:rPr>
            </w:pPr>
            <w:r>
              <w:rPr>
                <w:rFonts w:hint="eastAsia" w:ascii="仿宋_GB2312" w:hAnsi="仿宋_GB2312" w:eastAsia="仿宋_GB2312" w:cs="仿宋_GB2312"/>
                <w:szCs w:val="21"/>
              </w:rPr>
              <w:t>数量指标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高清网络摄像头数量</w:t>
            </w:r>
          </w:p>
        </w:tc>
        <w:tc>
          <w:tcPr>
            <w:tcW w:w="1145"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4个</w:t>
            </w:r>
          </w:p>
        </w:tc>
        <w:tc>
          <w:tcPr>
            <w:tcW w:w="9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4个</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67" w:line="209" w:lineRule="auto"/>
              <w:ind w:left="23"/>
              <w:jc w:val="center"/>
              <w:rPr>
                <w:rFonts w:hint="eastAsia" w:ascii="仿宋_GB2312" w:hAnsi="仿宋_GB2312" w:eastAsia="仿宋_GB2312" w:cs="仿宋_GB2312"/>
                <w:szCs w:val="21"/>
              </w:rPr>
            </w:pPr>
            <w:r>
              <w:rPr>
                <w:rFonts w:hint="eastAsia" w:ascii="仿宋_GB2312" w:hAnsi="仿宋_GB2312" w:eastAsia="仿宋_GB2312" w:cs="仿宋_GB2312"/>
                <w:szCs w:val="21"/>
              </w:rPr>
              <w:t>数量指标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执法记录仪台数</w:t>
            </w:r>
          </w:p>
        </w:tc>
        <w:tc>
          <w:tcPr>
            <w:tcW w:w="1145"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1台</w:t>
            </w:r>
          </w:p>
        </w:tc>
        <w:tc>
          <w:tcPr>
            <w:tcW w:w="9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1台</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67" w:line="209" w:lineRule="auto"/>
              <w:ind w:left="23"/>
              <w:jc w:val="center"/>
              <w:rPr>
                <w:rFonts w:hint="eastAsia" w:ascii="仿宋_GB2312" w:hAnsi="仿宋_GB2312" w:eastAsia="仿宋_GB2312" w:cs="仿宋_GB2312"/>
                <w:szCs w:val="21"/>
              </w:rPr>
            </w:pPr>
            <w:r>
              <w:rPr>
                <w:rFonts w:hint="eastAsia" w:ascii="仿宋_GB2312" w:hAnsi="仿宋_GB2312" w:eastAsia="仿宋_GB2312" w:cs="仿宋_GB2312"/>
                <w:szCs w:val="21"/>
              </w:rPr>
              <w:t>数量指标</w:t>
            </w:r>
          </w:p>
        </w:tc>
        <w:tc>
          <w:tcPr>
            <w:tcW w:w="208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感应器个数</w:t>
            </w:r>
          </w:p>
        </w:tc>
        <w:tc>
          <w:tcPr>
            <w:tcW w:w="1145" w:type="dxa"/>
            <w:tcBorders>
              <w:lef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1个</w:t>
            </w:r>
          </w:p>
        </w:tc>
        <w:tc>
          <w:tcPr>
            <w:tcW w:w="9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1个</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pacing w:val="-2"/>
                <w:szCs w:val="21"/>
              </w:rPr>
            </w:pPr>
          </w:p>
        </w:tc>
        <w:tc>
          <w:tcPr>
            <w:tcW w:w="999" w:type="dxa"/>
            <w:tcBorders>
              <w:top w:val="single" w:color="auto" w:sz="4" w:space="0"/>
              <w:left w:val="single" w:color="auto" w:sz="4" w:space="0"/>
              <w:bottom w:val="nil"/>
            </w:tcBorders>
            <w:vAlign w:val="center"/>
          </w:tcPr>
          <w:p>
            <w:pPr>
              <w:spacing w:before="67" w:line="209" w:lineRule="auto"/>
              <w:ind w:left="23"/>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成本指标</w:t>
            </w:r>
          </w:p>
        </w:tc>
        <w:tc>
          <w:tcPr>
            <w:tcW w:w="2086" w:type="dxa"/>
            <w:gridSpan w:val="2"/>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谈话室建设金额（万元）</w:t>
            </w:r>
          </w:p>
        </w:tc>
        <w:tc>
          <w:tcPr>
            <w:tcW w:w="11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4.6</w:t>
            </w:r>
          </w:p>
        </w:tc>
        <w:tc>
          <w:tcPr>
            <w:tcW w:w="9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3.18</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spacing w:val="-2"/>
                <w:szCs w:val="21"/>
              </w:rPr>
            </w:pPr>
          </w:p>
        </w:tc>
        <w:tc>
          <w:tcPr>
            <w:tcW w:w="999" w:type="dxa"/>
            <w:tcBorders>
              <w:top w:val="single" w:color="auto" w:sz="4" w:space="0"/>
              <w:left w:val="single" w:color="auto" w:sz="4" w:space="0"/>
              <w:bottom w:val="nil"/>
            </w:tcBorders>
            <w:vAlign w:val="center"/>
          </w:tcPr>
          <w:p>
            <w:pPr>
              <w:spacing w:before="67" w:line="209" w:lineRule="auto"/>
              <w:ind w:left="23"/>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成本指标</w:t>
            </w:r>
          </w:p>
        </w:tc>
        <w:tc>
          <w:tcPr>
            <w:tcW w:w="2086" w:type="dxa"/>
            <w:gridSpan w:val="2"/>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监控主机金额</w:t>
            </w:r>
          </w:p>
        </w:tc>
        <w:tc>
          <w:tcPr>
            <w:tcW w:w="11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0.04</w:t>
            </w:r>
          </w:p>
        </w:tc>
        <w:tc>
          <w:tcPr>
            <w:tcW w:w="9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0.04</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spacing w:val="-2"/>
                <w:szCs w:val="21"/>
              </w:rPr>
            </w:pPr>
          </w:p>
        </w:tc>
        <w:tc>
          <w:tcPr>
            <w:tcW w:w="999" w:type="dxa"/>
            <w:tcBorders>
              <w:top w:val="single" w:color="auto" w:sz="4" w:space="0"/>
              <w:left w:val="single" w:color="auto" w:sz="4" w:space="0"/>
              <w:bottom w:val="nil"/>
            </w:tcBorders>
            <w:vAlign w:val="center"/>
          </w:tcPr>
          <w:p>
            <w:pPr>
              <w:spacing w:before="67" w:line="209" w:lineRule="auto"/>
              <w:ind w:left="23"/>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成本指标</w:t>
            </w:r>
          </w:p>
        </w:tc>
        <w:tc>
          <w:tcPr>
            <w:tcW w:w="2086" w:type="dxa"/>
            <w:gridSpan w:val="2"/>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高清网络摄像头金额</w:t>
            </w:r>
          </w:p>
        </w:tc>
        <w:tc>
          <w:tcPr>
            <w:tcW w:w="11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1.04</w:t>
            </w:r>
          </w:p>
        </w:tc>
        <w:tc>
          <w:tcPr>
            <w:tcW w:w="9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1.04</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spacing w:val="-2"/>
                <w:szCs w:val="21"/>
              </w:rPr>
            </w:pPr>
          </w:p>
        </w:tc>
        <w:tc>
          <w:tcPr>
            <w:tcW w:w="999" w:type="dxa"/>
            <w:tcBorders>
              <w:top w:val="single" w:color="auto" w:sz="4" w:space="0"/>
              <w:left w:val="single" w:color="auto" w:sz="4" w:space="0"/>
              <w:bottom w:val="nil"/>
            </w:tcBorders>
            <w:vAlign w:val="center"/>
          </w:tcPr>
          <w:p>
            <w:pPr>
              <w:spacing w:before="67" w:line="209" w:lineRule="auto"/>
              <w:ind w:left="23"/>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成本指标</w:t>
            </w:r>
          </w:p>
        </w:tc>
        <w:tc>
          <w:tcPr>
            <w:tcW w:w="2086" w:type="dxa"/>
            <w:gridSpan w:val="2"/>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执法记录仪金额</w:t>
            </w:r>
          </w:p>
        </w:tc>
        <w:tc>
          <w:tcPr>
            <w:tcW w:w="11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0.2</w:t>
            </w:r>
          </w:p>
        </w:tc>
        <w:tc>
          <w:tcPr>
            <w:tcW w:w="9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0.2</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pacing w:val="-2"/>
                <w:szCs w:val="21"/>
              </w:rPr>
            </w:pPr>
          </w:p>
        </w:tc>
        <w:tc>
          <w:tcPr>
            <w:tcW w:w="999" w:type="dxa"/>
            <w:tcBorders>
              <w:top w:val="single" w:color="auto" w:sz="4" w:space="0"/>
              <w:left w:val="single" w:color="auto" w:sz="4" w:space="0"/>
              <w:bottom w:val="nil"/>
            </w:tcBorders>
            <w:vAlign w:val="center"/>
          </w:tcPr>
          <w:p>
            <w:pPr>
              <w:spacing w:before="67" w:line="209" w:lineRule="auto"/>
              <w:ind w:left="23"/>
              <w:jc w:val="center"/>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成本指标</w:t>
            </w:r>
          </w:p>
        </w:tc>
        <w:tc>
          <w:tcPr>
            <w:tcW w:w="2086" w:type="dxa"/>
            <w:gridSpan w:val="2"/>
            <w:tcBorders>
              <w:top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感应器金额</w:t>
            </w:r>
          </w:p>
        </w:tc>
        <w:tc>
          <w:tcPr>
            <w:tcW w:w="11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0.06</w:t>
            </w:r>
          </w:p>
        </w:tc>
        <w:tc>
          <w:tcPr>
            <w:tcW w:w="95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0.06</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pacing w:val="-2"/>
                <w:szCs w:val="21"/>
              </w:rPr>
              <w:t>效益指标</w:t>
            </w:r>
          </w:p>
        </w:tc>
        <w:tc>
          <w:tcPr>
            <w:tcW w:w="999" w:type="dxa"/>
            <w:tcBorders>
              <w:top w:val="single" w:color="auto" w:sz="4" w:space="0"/>
              <w:left w:val="single" w:color="auto" w:sz="4" w:space="0"/>
              <w:bottom w:val="nil"/>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经济效益指标</w:t>
            </w:r>
          </w:p>
        </w:tc>
        <w:tc>
          <w:tcPr>
            <w:tcW w:w="2086" w:type="dxa"/>
            <w:gridSpan w:val="2"/>
            <w:tcBorders>
              <w:top w:val="single" w:color="auto" w:sz="4" w:space="0"/>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财政资金预算内执行</w:t>
            </w:r>
          </w:p>
        </w:tc>
        <w:tc>
          <w:tcPr>
            <w:tcW w:w="1145"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≤4.6万元</w:t>
            </w:r>
          </w:p>
        </w:tc>
        <w:tc>
          <w:tcPr>
            <w:tcW w:w="951"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0万元</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999" w:type="dxa"/>
            <w:tcBorders>
              <w:left w:val="single" w:color="auto" w:sz="4" w:space="0"/>
              <w:bottom w:val="nil"/>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2086" w:type="dxa"/>
            <w:gridSpan w:val="2"/>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营造良好的政治生态环境</w:t>
            </w:r>
          </w:p>
        </w:tc>
        <w:tc>
          <w:tcPr>
            <w:tcW w:w="1145"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定性</w:t>
            </w:r>
          </w:p>
        </w:tc>
        <w:tc>
          <w:tcPr>
            <w:tcW w:w="951"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napToGrid w:val="0"/>
                <w:color w:val="000000"/>
                <w:kern w:val="0"/>
                <w:szCs w:val="21"/>
              </w:rPr>
              <w:t>优</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tcBorders>
              <w:top w:val="single" w:color="auto" w:sz="4" w:space="0"/>
              <w:bottom w:val="nil"/>
            </w:tcBorders>
            <w:vAlign w:val="center"/>
          </w:tcPr>
          <w:p>
            <w:pPr>
              <w:spacing w:before="146" w:line="219" w:lineRule="auto"/>
              <w:ind w:left="191" w:right="124" w:hanging="70"/>
              <w:jc w:val="center"/>
              <w:rPr>
                <w:rFonts w:ascii="仿宋_GB2312" w:hAnsi="仿宋_GB2312" w:eastAsia="仿宋_GB2312" w:cs="仿宋_GB2312"/>
                <w:szCs w:val="21"/>
              </w:rPr>
            </w:pPr>
            <w:r>
              <w:rPr>
                <w:rFonts w:hint="eastAsia" w:ascii="仿宋_GB2312" w:hAnsi="仿宋_GB2312" w:eastAsia="仿宋_GB2312" w:cs="仿宋_GB2312"/>
                <w:spacing w:val="-3"/>
                <w:szCs w:val="21"/>
              </w:rPr>
              <w:t>满意度</w:t>
            </w:r>
            <w:r>
              <w:rPr>
                <w:rFonts w:hint="eastAsia" w:ascii="仿宋_GB2312" w:hAnsi="仿宋_GB2312" w:eastAsia="仿宋_GB2312" w:cs="仿宋_GB2312"/>
                <w:spacing w:val="1"/>
                <w:szCs w:val="21"/>
              </w:rPr>
              <w:t xml:space="preserve"> </w:t>
            </w:r>
            <w:r>
              <w:rPr>
                <w:rFonts w:hint="eastAsia" w:ascii="仿宋_GB2312" w:hAnsi="仿宋_GB2312" w:eastAsia="仿宋_GB2312" w:cs="仿宋_GB2312"/>
                <w:spacing w:val="-3"/>
                <w:szCs w:val="21"/>
              </w:rPr>
              <w:t>指标</w:t>
            </w:r>
          </w:p>
        </w:tc>
        <w:tc>
          <w:tcPr>
            <w:tcW w:w="999" w:type="dxa"/>
            <w:tcBorders>
              <w:bottom w:val="nil"/>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满意度指标</w:t>
            </w:r>
          </w:p>
        </w:tc>
        <w:tc>
          <w:tcPr>
            <w:tcW w:w="2086" w:type="dxa"/>
            <w:gridSpan w:val="2"/>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群众及相关干部满意度</w:t>
            </w:r>
          </w:p>
        </w:tc>
        <w:tc>
          <w:tcPr>
            <w:tcW w:w="1145"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≥9</w:t>
            </w: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w:t>
            </w:r>
          </w:p>
        </w:tc>
        <w:tc>
          <w:tcPr>
            <w:tcW w:w="951"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9</w:t>
            </w:r>
            <w:r>
              <w:rPr>
                <w:rFonts w:hint="eastAsia" w:ascii="仿宋_GB2312" w:hAnsi="仿宋_GB2312" w:eastAsia="仿宋_GB2312" w:cs="仿宋_GB2312"/>
                <w:szCs w:val="21"/>
                <w:lang w:val="en-US" w:eastAsia="zh-CN"/>
              </w:rPr>
              <w:t>5</w:t>
            </w:r>
            <w:r>
              <w:rPr>
                <w:rFonts w:hint="eastAsia" w:ascii="仿宋_GB2312" w:hAnsi="仿宋_GB2312" w:eastAsia="仿宋_GB2312" w:cs="仿宋_GB2312"/>
                <w:szCs w:val="21"/>
              </w:rPr>
              <w:t>%</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6630" w:type="dxa"/>
            <w:gridSpan w:val="7"/>
            <w:vAlign w:val="center"/>
          </w:tcPr>
          <w:p>
            <w:pPr>
              <w:spacing w:before="48" w:line="220" w:lineRule="auto"/>
              <w:ind w:left="3664"/>
              <w:jc w:val="center"/>
              <w:rPr>
                <w:rFonts w:ascii="仿宋_GB2312" w:hAnsi="仿宋_GB2312" w:eastAsia="仿宋_GB2312" w:cs="仿宋_GB2312"/>
                <w:szCs w:val="21"/>
              </w:rPr>
            </w:pPr>
            <w:r>
              <w:rPr>
                <w:rFonts w:hint="eastAsia" w:ascii="仿宋_GB2312" w:hAnsi="仿宋_GB2312" w:eastAsia="仿宋_GB2312" w:cs="仿宋_GB2312"/>
                <w:spacing w:val="-3"/>
                <w:szCs w:val="21"/>
              </w:rPr>
              <w:t>总分</w:t>
            </w:r>
          </w:p>
        </w:tc>
        <w:tc>
          <w:tcPr>
            <w:tcW w:w="246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98.5</w:t>
            </w:r>
          </w:p>
        </w:tc>
      </w:tr>
    </w:tbl>
    <w:p>
      <w:pPr>
        <w:rPr>
          <w:rStyle w:val="31"/>
          <w:rFonts w:ascii="黑体" w:hAnsi="黑体" w:eastAsia="黑体"/>
          <w:b w:val="0"/>
        </w:rPr>
      </w:pPr>
      <w:r>
        <w:rPr>
          <w:rStyle w:val="31"/>
          <w:rFonts w:ascii="黑体" w:hAnsi="黑体" w:eastAsia="黑体"/>
          <w:b w:val="0"/>
        </w:rPr>
        <w:br w:type="page"/>
      </w:r>
    </w:p>
    <w:p>
      <w:pPr>
        <w:spacing w:line="576" w:lineRule="exact"/>
        <w:jc w:val="left"/>
        <w:rPr>
          <w:rFonts w:hint="eastAsia" w:ascii="黑体" w:hAnsi="黑体" w:eastAsia="黑体" w:cs="黑体"/>
          <w:bCs/>
          <w:color w:val="000000"/>
          <w:sz w:val="32"/>
          <w:szCs w:val="32"/>
          <w:lang w:val="en-US" w:eastAsia="zh-CN"/>
        </w:rPr>
      </w:pPr>
      <w:r>
        <w:rPr>
          <w:rFonts w:hint="eastAsia" w:ascii="黑体" w:hAnsi="黑体" w:eastAsia="黑体" w:cs="黑体"/>
          <w:bCs/>
          <w:color w:val="000000"/>
          <w:sz w:val="32"/>
          <w:szCs w:val="32"/>
        </w:rPr>
        <w:t>附件2-</w:t>
      </w:r>
      <w:r>
        <w:rPr>
          <w:rFonts w:hint="eastAsia" w:ascii="黑体" w:hAnsi="黑体" w:eastAsia="黑体" w:cs="黑体"/>
          <w:bCs/>
          <w:color w:val="000000"/>
          <w:sz w:val="32"/>
          <w:szCs w:val="32"/>
          <w:lang w:val="en-US" w:eastAsia="zh-CN"/>
        </w:rPr>
        <w:t>5</w:t>
      </w:r>
    </w:p>
    <w:p>
      <w:pPr>
        <w:spacing w:line="560" w:lineRule="exact"/>
        <w:jc w:val="center"/>
        <w:rPr>
          <w:rFonts w:hint="eastAsia" w:ascii="方正小标宋简体" w:hAnsi="方正小标宋简体" w:eastAsia="方正小标宋简体" w:cs="方正小标宋简体"/>
          <w:spacing w:val="-20"/>
          <w:sz w:val="44"/>
          <w:szCs w:val="44"/>
        </w:rPr>
      </w:pPr>
    </w:p>
    <w:p>
      <w:pPr>
        <w:spacing w:line="56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关于2022年抗旱应急财政补助资金支出绩效</w:t>
      </w:r>
    </w:p>
    <w:p>
      <w:pPr>
        <w:spacing w:line="560" w:lineRule="exact"/>
        <w:jc w:val="center"/>
        <w:rPr>
          <w:rFonts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pacing w:val="-20"/>
          <w:sz w:val="44"/>
          <w:szCs w:val="44"/>
        </w:rPr>
        <w:t>自评报告</w:t>
      </w:r>
    </w:p>
    <w:p>
      <w:pPr>
        <w:spacing w:line="576" w:lineRule="exact"/>
        <w:ind w:firstLine="560" w:firstLineChars="200"/>
        <w:jc w:val="left"/>
        <w:rPr>
          <w:rFonts w:ascii="仿宋_GB2312" w:hAnsi="楷体_GB2312" w:eastAsia="仿宋_GB2312" w:cs="楷体_GB2312"/>
          <w:spacing w:val="-20"/>
          <w:sz w:val="32"/>
          <w:szCs w:val="32"/>
        </w:rPr>
      </w:pPr>
    </w:p>
    <w:p>
      <w:pPr>
        <w:spacing w:line="576" w:lineRule="exact"/>
        <w:ind w:firstLine="640" w:firstLineChars="200"/>
        <w:outlineLvl w:val="1"/>
        <w:rPr>
          <w:rFonts w:ascii="黑体" w:hAnsi="黑体" w:eastAsia="黑体" w:cs="黑体"/>
          <w:sz w:val="32"/>
          <w:szCs w:val="32"/>
        </w:rPr>
      </w:pPr>
      <w:bookmarkStart w:id="17" w:name="_Toc5685"/>
      <w:r>
        <w:rPr>
          <w:rFonts w:hint="eastAsia" w:ascii="黑体" w:hAnsi="黑体" w:eastAsia="黑体" w:cs="黑体"/>
          <w:sz w:val="32"/>
          <w:szCs w:val="32"/>
        </w:rPr>
        <w:t>一、项目概况</w:t>
      </w:r>
      <w:bookmarkEnd w:id="17"/>
    </w:p>
    <w:p>
      <w:pPr>
        <w:spacing w:line="536" w:lineRule="exact"/>
        <w:ind w:firstLine="643" w:firstLineChars="200"/>
        <w:outlineLvl w:val="2"/>
        <w:rPr>
          <w:rFonts w:ascii="楷体" w:hAnsi="楷体" w:eastAsia="楷体" w:cs="楷体"/>
          <w:b/>
          <w:bCs/>
          <w:color w:val="000000" w:themeColor="text1"/>
          <w:sz w:val="32"/>
          <w:szCs w:val="32"/>
          <w:lang w:val="zh-CN"/>
        </w:rPr>
      </w:pPr>
      <w:bookmarkStart w:id="18" w:name="_Toc14575"/>
      <w:r>
        <w:rPr>
          <w:rFonts w:hint="eastAsia" w:ascii="楷体" w:hAnsi="楷体" w:eastAsia="楷体" w:cs="楷体"/>
          <w:b/>
          <w:bCs/>
          <w:color w:val="000000" w:themeColor="text1"/>
          <w:sz w:val="32"/>
          <w:szCs w:val="32"/>
          <w:lang w:val="zh-CN"/>
        </w:rPr>
        <w:t>（一）项目资金申报及批复情况</w:t>
      </w:r>
      <w:bookmarkEnd w:id="1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该项目申报资金性质为一般公共预算，总申报金额为</w:t>
      </w:r>
      <w:r>
        <w:rPr>
          <w:rFonts w:hint="eastAsia" w:eastAsia="仿宋_GB2312"/>
          <w:sz w:val="32"/>
          <w:szCs w:val="32"/>
        </w:rPr>
        <w:t>10</w:t>
      </w:r>
      <w:r>
        <w:rPr>
          <w:rFonts w:hint="eastAsia" w:ascii="仿宋_GB2312" w:hAnsi="仿宋_GB2312" w:eastAsia="仿宋_GB2312" w:cs="仿宋_GB2312"/>
          <w:sz w:val="32"/>
          <w:szCs w:val="32"/>
        </w:rPr>
        <w:t>万元，申报项目涉及全镇</w:t>
      </w:r>
      <w:r>
        <w:rPr>
          <w:rFonts w:hint="eastAsia" w:eastAsia="仿宋_GB2312"/>
          <w:sz w:val="32"/>
          <w:szCs w:val="32"/>
        </w:rPr>
        <w:t>12</w:t>
      </w:r>
      <w:r>
        <w:rPr>
          <w:rFonts w:hint="eastAsia" w:ascii="仿宋_GB2312" w:hAnsi="仿宋_GB2312" w:eastAsia="仿宋_GB2312" w:cs="仿宋_GB2312"/>
          <w:sz w:val="32"/>
          <w:szCs w:val="32"/>
        </w:rPr>
        <w:t>村。上级实际批复和安排预算资金为</w:t>
      </w:r>
      <w:r>
        <w:rPr>
          <w:rFonts w:hint="eastAsia" w:eastAsia="仿宋_GB2312"/>
          <w:sz w:val="32"/>
          <w:szCs w:val="32"/>
        </w:rPr>
        <w:t>10</w:t>
      </w:r>
      <w:r>
        <w:rPr>
          <w:rFonts w:hint="eastAsia" w:ascii="仿宋_GB2312" w:hAnsi="仿宋_GB2312" w:eastAsia="仿宋_GB2312" w:cs="仿宋_GB2312"/>
          <w:sz w:val="32"/>
          <w:szCs w:val="32"/>
        </w:rPr>
        <w:t>万元。</w:t>
      </w:r>
    </w:p>
    <w:p>
      <w:pPr>
        <w:spacing w:line="536" w:lineRule="exact"/>
        <w:ind w:firstLine="643" w:firstLineChars="200"/>
        <w:outlineLvl w:val="2"/>
        <w:rPr>
          <w:rFonts w:ascii="楷体" w:hAnsi="楷体" w:eastAsia="楷体" w:cs="楷体"/>
          <w:b/>
          <w:bCs/>
          <w:color w:val="000000" w:themeColor="text1"/>
          <w:sz w:val="32"/>
          <w:szCs w:val="32"/>
          <w:lang w:val="zh-CN"/>
        </w:rPr>
      </w:pPr>
      <w:bookmarkStart w:id="19" w:name="_Toc22658"/>
      <w:r>
        <w:rPr>
          <w:rFonts w:hint="eastAsia" w:ascii="楷体" w:hAnsi="楷体" w:eastAsia="楷体" w:cs="楷体"/>
          <w:b/>
          <w:bCs/>
          <w:color w:val="000000" w:themeColor="text1"/>
          <w:sz w:val="32"/>
          <w:szCs w:val="32"/>
          <w:lang w:val="zh-CN"/>
        </w:rPr>
        <w:t>（二）项目绩效目标</w:t>
      </w:r>
      <w:bookmarkEnd w:id="19"/>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项目申报绩效目标为：</w:t>
      </w:r>
      <w:r>
        <w:rPr>
          <w:rFonts w:hint="eastAsia" w:ascii="仿宋_GB2312" w:hAnsi="仿宋_GB2312" w:eastAsia="仿宋_GB2312" w:cs="仿宋_GB2312"/>
          <w:sz w:val="32"/>
          <w:szCs w:val="32"/>
          <w:lang w:val="zh-CN"/>
        </w:rPr>
        <w:t>用于送水燃油、抽水电价的补助及人饮及渠系维护，解决受灾人畜饮水困难问题，确保受灾群众生活生产秩序正常，增强群众抗旱意识和自救能力，使受灾群众对解决生活饮水、抗旱满意度达98%</w:t>
      </w:r>
      <w:r>
        <w:rPr>
          <w:rFonts w:hint="eastAsia" w:ascii="仿宋_GB2312" w:hAnsi="仿宋_GB2312" w:eastAsia="仿宋_GB2312" w:cs="仿宋_GB2312"/>
          <w:sz w:val="32"/>
          <w:szCs w:val="32"/>
        </w:rPr>
        <w:t>。</w:t>
      </w:r>
    </w:p>
    <w:p>
      <w:pPr>
        <w:spacing w:line="536" w:lineRule="exact"/>
        <w:ind w:firstLine="643" w:firstLineChars="200"/>
        <w:outlineLvl w:val="2"/>
        <w:rPr>
          <w:rFonts w:ascii="楷体" w:hAnsi="楷体" w:eastAsia="楷体" w:cs="楷体"/>
          <w:b/>
          <w:bCs/>
          <w:color w:val="000000" w:themeColor="text1"/>
          <w:sz w:val="32"/>
          <w:szCs w:val="32"/>
          <w:lang w:val="zh-CN"/>
        </w:rPr>
      </w:pPr>
      <w:bookmarkStart w:id="20" w:name="_Toc12534"/>
      <w:r>
        <w:rPr>
          <w:rFonts w:hint="eastAsia" w:ascii="楷体" w:hAnsi="楷体" w:eastAsia="楷体" w:cs="楷体"/>
          <w:b/>
          <w:bCs/>
          <w:color w:val="000000" w:themeColor="text1"/>
          <w:sz w:val="32"/>
          <w:szCs w:val="32"/>
          <w:lang w:val="zh-CN"/>
        </w:rPr>
        <w:t>（三）项目资金申报相符性</w:t>
      </w:r>
      <w:bookmarkEnd w:id="2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该项目申报内容是结合我镇多年实施该项目的实际情况编报，</w:t>
      </w:r>
      <w:r>
        <w:rPr>
          <w:rFonts w:hint="eastAsia" w:ascii="仿宋_GB2312" w:hAnsi="仿宋_GB2312" w:eastAsia="仿宋_GB2312" w:cs="仿宋_GB2312"/>
          <w:sz w:val="32"/>
          <w:szCs w:val="32"/>
          <w:lang w:val="zh-CN"/>
        </w:rPr>
        <w:t>申报目标合理，实施项目均与项目绩效实施范围、申报相符，</w:t>
      </w:r>
      <w:r>
        <w:rPr>
          <w:rFonts w:hint="eastAsia" w:ascii="仿宋_GB2312" w:hAnsi="仿宋_GB2312" w:eastAsia="仿宋_GB2312" w:cs="仿宋_GB2312"/>
          <w:sz w:val="32"/>
          <w:szCs w:val="32"/>
        </w:rPr>
        <w:t>申报目标合理可行。</w:t>
      </w:r>
    </w:p>
    <w:p>
      <w:pPr>
        <w:spacing w:line="536" w:lineRule="exact"/>
        <w:ind w:firstLine="643" w:firstLineChars="200"/>
        <w:outlineLvl w:val="2"/>
        <w:rPr>
          <w:rFonts w:ascii="楷体" w:hAnsi="楷体" w:eastAsia="楷体" w:cs="楷体"/>
          <w:b/>
          <w:bCs/>
          <w:color w:val="000000" w:themeColor="text1"/>
          <w:sz w:val="32"/>
          <w:szCs w:val="32"/>
          <w:lang w:val="zh-CN"/>
        </w:rPr>
      </w:pPr>
      <w:bookmarkStart w:id="21" w:name="_Toc22210"/>
      <w:r>
        <w:rPr>
          <w:rFonts w:hint="eastAsia" w:ascii="楷体" w:hAnsi="楷体" w:eastAsia="楷体" w:cs="楷体"/>
          <w:b/>
          <w:bCs/>
          <w:color w:val="000000" w:themeColor="text1"/>
          <w:sz w:val="32"/>
          <w:szCs w:val="32"/>
          <w:lang w:val="zh-CN"/>
        </w:rPr>
        <w:t>（四）自评步骤及方法</w:t>
      </w:r>
      <w:bookmarkEnd w:id="21"/>
    </w:p>
    <w:p>
      <w:pPr>
        <w:adjustRightInd w:val="0"/>
        <w:snapToGrid w:val="0"/>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按区财政部门绩效管理相关规定，认真开展项目绩效评价工作，</w:t>
      </w:r>
      <w:r>
        <w:rPr>
          <w:rFonts w:hint="eastAsia" w:ascii="仿宋_GB2312" w:hAnsi="仿宋_GB2312" w:eastAsia="仿宋_GB2312" w:cs="仿宋_GB2312"/>
          <w:sz w:val="32"/>
          <w:szCs w:val="32"/>
        </w:rPr>
        <w:t>本项目采取自评与他评相结合方式，成立项目自评小组，结合评价内容，做到有计划，有安排，扎实开展本次自评工作。按照上级下达的项目支出绩效评价指标体系，自评小组针对申报内容、实施情况、资金兑现、财务管理、社会效益等作出自我评价，认真听取村、社区群众建议意见，做好自评工作</w:t>
      </w:r>
      <w:r>
        <w:rPr>
          <w:rFonts w:hint="eastAsia" w:ascii="仿宋_GB2312" w:hAnsi="仿宋_GB2312" w:eastAsia="仿宋_GB2312" w:cs="仿宋_GB2312"/>
          <w:sz w:val="32"/>
          <w:szCs w:val="32"/>
          <w:lang w:val="zh-CN"/>
        </w:rPr>
        <w:t>。</w:t>
      </w:r>
    </w:p>
    <w:p>
      <w:pPr>
        <w:spacing w:line="576" w:lineRule="exact"/>
        <w:ind w:firstLine="640" w:firstLineChars="200"/>
        <w:outlineLvl w:val="1"/>
        <w:rPr>
          <w:rFonts w:ascii="黑体" w:hAnsi="黑体" w:eastAsia="黑体" w:cs="黑体"/>
          <w:sz w:val="32"/>
          <w:szCs w:val="32"/>
        </w:rPr>
      </w:pPr>
      <w:bookmarkStart w:id="22" w:name="_Toc6614"/>
      <w:r>
        <w:rPr>
          <w:rFonts w:hint="eastAsia" w:ascii="黑体" w:hAnsi="黑体" w:eastAsia="黑体" w:cs="黑体"/>
          <w:sz w:val="32"/>
          <w:szCs w:val="32"/>
        </w:rPr>
        <w:t>二、项目实施及管理情况</w:t>
      </w:r>
      <w:bookmarkEnd w:id="22"/>
    </w:p>
    <w:p>
      <w:pPr>
        <w:spacing w:line="536" w:lineRule="exact"/>
        <w:ind w:firstLine="643" w:firstLineChars="200"/>
        <w:outlineLvl w:val="2"/>
        <w:rPr>
          <w:rFonts w:ascii="楷体" w:hAnsi="楷体" w:eastAsia="楷体" w:cs="楷体"/>
          <w:b/>
          <w:bCs/>
          <w:color w:val="000000" w:themeColor="text1"/>
          <w:sz w:val="32"/>
          <w:szCs w:val="32"/>
          <w:lang w:val="zh-CN"/>
        </w:rPr>
      </w:pPr>
      <w:bookmarkStart w:id="23" w:name="_Toc11616"/>
      <w:r>
        <w:rPr>
          <w:rFonts w:hint="eastAsia" w:ascii="楷体" w:hAnsi="楷体" w:eastAsia="楷体" w:cs="楷体"/>
          <w:b/>
          <w:bCs/>
          <w:color w:val="000000" w:themeColor="text1"/>
          <w:sz w:val="32"/>
          <w:szCs w:val="32"/>
          <w:lang w:val="zh-CN"/>
        </w:rPr>
        <w:t>（一）资金计划、到位及使用情况</w:t>
      </w:r>
      <w:bookmarkEnd w:id="23"/>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1.资金预算及时到位。该项目资金预算10万元，实际到位资金10万元。由村申报、镇审核，报区财政部门审批直接拨付到各村。</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2.资金使用。该项目实际应支出10万元，实际支付10万元，均按规定支付抗旱资金。</w:t>
      </w:r>
    </w:p>
    <w:p>
      <w:pPr>
        <w:spacing w:line="536" w:lineRule="exact"/>
        <w:ind w:firstLine="643" w:firstLineChars="200"/>
        <w:outlineLvl w:val="2"/>
        <w:rPr>
          <w:rFonts w:ascii="楷体" w:hAnsi="楷体" w:eastAsia="楷体" w:cs="楷体"/>
          <w:b/>
          <w:bCs/>
          <w:color w:val="000000" w:themeColor="text1"/>
          <w:sz w:val="32"/>
          <w:szCs w:val="32"/>
          <w:lang w:val="zh-CN"/>
        </w:rPr>
      </w:pPr>
      <w:bookmarkStart w:id="24" w:name="_Toc11745"/>
      <w:r>
        <w:rPr>
          <w:rFonts w:hint="eastAsia" w:ascii="楷体" w:hAnsi="楷体" w:eastAsia="楷体" w:cs="楷体"/>
          <w:b/>
          <w:bCs/>
          <w:color w:val="000000" w:themeColor="text1"/>
          <w:sz w:val="32"/>
          <w:szCs w:val="32"/>
          <w:lang w:val="zh-CN"/>
        </w:rPr>
        <w:t>（二）项目财务管理情况</w:t>
      </w:r>
      <w:bookmarkEnd w:id="24"/>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该项资金实务中严格按照财经制度进行结算支付，财务制度健全、管理规范。一是严控资金使用范围。各村均做到了资金“专款专用”，对不符合项目绩效设施范围的项目，坚决不予使用该项资金报销；二是严格管理报销流程，</w:t>
      </w:r>
      <w:r>
        <w:rPr>
          <w:rFonts w:hint="eastAsia" w:ascii="仿宋_GB2312" w:hAnsi="仿宋_GB2312" w:eastAsia="仿宋_GB2312" w:cs="仿宋_GB2312"/>
          <w:sz w:val="32"/>
          <w:szCs w:val="32"/>
        </w:rPr>
        <w:t>由镇相关部门完善相关报账资料，并经财务负责人、分管领导以及镇长签字后，上报区财政相关股室审核和领导审批后，直接打卡到各村。</w:t>
      </w:r>
    </w:p>
    <w:p>
      <w:pPr>
        <w:spacing w:line="536" w:lineRule="exact"/>
        <w:ind w:firstLine="643" w:firstLineChars="200"/>
        <w:outlineLvl w:val="2"/>
        <w:rPr>
          <w:rFonts w:ascii="楷体" w:hAnsi="楷体" w:eastAsia="楷体" w:cs="楷体"/>
          <w:b/>
          <w:bCs/>
          <w:color w:val="000000" w:themeColor="text1"/>
          <w:sz w:val="32"/>
          <w:szCs w:val="32"/>
          <w:lang w:val="zh-CN"/>
        </w:rPr>
      </w:pPr>
      <w:bookmarkStart w:id="25" w:name="_Toc18096"/>
      <w:r>
        <w:rPr>
          <w:rFonts w:hint="eastAsia" w:ascii="楷体" w:hAnsi="楷体" w:eastAsia="楷体" w:cs="楷体"/>
          <w:b/>
          <w:bCs/>
          <w:color w:val="000000" w:themeColor="text1"/>
          <w:sz w:val="32"/>
          <w:szCs w:val="32"/>
          <w:lang w:val="zh-CN"/>
        </w:rPr>
        <w:t>（</w:t>
      </w:r>
      <w:r>
        <w:rPr>
          <w:rFonts w:hint="eastAsia" w:ascii="楷体" w:hAnsi="楷体" w:eastAsia="楷体" w:cs="楷体"/>
          <w:b/>
          <w:bCs/>
          <w:color w:val="000000" w:themeColor="text1"/>
          <w:sz w:val="32"/>
          <w:szCs w:val="32"/>
        </w:rPr>
        <w:t>三</w:t>
      </w:r>
      <w:r>
        <w:rPr>
          <w:rFonts w:hint="eastAsia" w:ascii="楷体" w:hAnsi="楷体" w:eastAsia="楷体" w:cs="楷体"/>
          <w:b/>
          <w:bCs/>
          <w:color w:val="000000" w:themeColor="text1"/>
          <w:sz w:val="32"/>
          <w:szCs w:val="32"/>
          <w:lang w:val="zh-CN"/>
        </w:rPr>
        <w:t>）项目组织实施及管理情况</w:t>
      </w:r>
      <w:bookmarkEnd w:id="25"/>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财政批复抗旱资金项目，主要包括送水燃油、抽水电价的补助及人饮及渠系维护，解决受灾人畜饮水困难。按照年初预算安排，认真论证项目实施的可行性和效益性，并在项目实施过程中认真完善项目建设中的相关手续办理和基础资料的收集整理、组织呈报等，加强与相关部门之间工作的及时沟通协调，确保项目顺利开展。在项目实施中，工作职责明确，许多情况都能跟踪跟进，有效地推进项目建设进度和保证项目质量。资金开支的范围、标准及支付进度完全按照预算要求进行，项目实施村按镇批准方案。</w:t>
      </w:r>
    </w:p>
    <w:p>
      <w:pPr>
        <w:spacing w:line="576" w:lineRule="exact"/>
        <w:ind w:firstLine="640" w:firstLineChars="200"/>
        <w:outlineLvl w:val="1"/>
        <w:rPr>
          <w:rFonts w:ascii="黑体" w:hAnsi="黑体" w:eastAsia="黑体" w:cs="黑体"/>
          <w:sz w:val="32"/>
          <w:szCs w:val="32"/>
        </w:rPr>
      </w:pPr>
      <w:bookmarkStart w:id="26" w:name="_Toc2619"/>
      <w:r>
        <w:rPr>
          <w:rFonts w:hint="eastAsia" w:ascii="黑体" w:hAnsi="黑体" w:eastAsia="黑体" w:cs="黑体"/>
          <w:sz w:val="32"/>
          <w:szCs w:val="32"/>
        </w:rPr>
        <w:t>三、项目绩效情况</w:t>
      </w:r>
      <w:bookmarkEnd w:id="26"/>
    </w:p>
    <w:p>
      <w:pPr>
        <w:spacing w:line="536" w:lineRule="exact"/>
        <w:ind w:firstLine="643" w:firstLineChars="200"/>
        <w:outlineLvl w:val="2"/>
        <w:rPr>
          <w:rFonts w:ascii="楷体" w:hAnsi="楷体" w:eastAsia="楷体" w:cs="楷体"/>
          <w:b/>
          <w:bCs/>
          <w:color w:val="000000" w:themeColor="text1"/>
          <w:sz w:val="32"/>
          <w:szCs w:val="32"/>
          <w:lang w:val="zh-CN"/>
        </w:rPr>
      </w:pPr>
      <w:bookmarkStart w:id="27" w:name="_Toc16097"/>
      <w:r>
        <w:rPr>
          <w:rFonts w:hint="eastAsia" w:ascii="楷体" w:hAnsi="楷体" w:eastAsia="楷体" w:cs="楷体"/>
          <w:b/>
          <w:bCs/>
          <w:color w:val="000000" w:themeColor="text1"/>
          <w:sz w:val="32"/>
          <w:szCs w:val="32"/>
          <w:lang w:val="zh-CN"/>
        </w:rPr>
        <w:t>（一）目标完成情况</w:t>
      </w:r>
      <w:bookmarkEnd w:id="27"/>
    </w:p>
    <w:p>
      <w:pPr>
        <w:pStyle w:val="17"/>
        <w:spacing w:beforeAutospacing="0" w:afterAutospacing="0" w:line="576"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保障临时饮水困难人员约300人，修复渠系耗材及租赁抽水设施质量合格率达100%，抗旱资金兑付及时率100%，受灾群众人饮及生活困难解决率99%，有效维护受灾群众生活生产秩序正常，提高群众抗旱意识和自救能力受灾群众对解决生活饮水、抗旱满意度达98%。</w:t>
      </w:r>
    </w:p>
    <w:p>
      <w:pPr>
        <w:spacing w:line="536" w:lineRule="exact"/>
        <w:ind w:firstLine="643" w:firstLineChars="200"/>
        <w:outlineLvl w:val="2"/>
        <w:rPr>
          <w:rFonts w:ascii="楷体" w:hAnsi="楷体" w:eastAsia="楷体" w:cs="楷体"/>
          <w:b/>
          <w:bCs/>
          <w:color w:val="000000" w:themeColor="text1"/>
          <w:sz w:val="32"/>
          <w:szCs w:val="32"/>
          <w:lang w:val="zh-CN"/>
        </w:rPr>
      </w:pPr>
      <w:bookmarkStart w:id="28" w:name="_Toc26510"/>
      <w:r>
        <w:rPr>
          <w:rFonts w:hint="eastAsia" w:ascii="楷体" w:hAnsi="楷体" w:eastAsia="楷体" w:cs="楷体"/>
          <w:b/>
          <w:bCs/>
          <w:color w:val="000000" w:themeColor="text1"/>
          <w:sz w:val="32"/>
          <w:szCs w:val="32"/>
          <w:lang w:val="zh-CN"/>
        </w:rPr>
        <w:t>（二）项目效益情况</w:t>
      </w:r>
      <w:bookmarkEnd w:id="28"/>
    </w:p>
    <w:p>
      <w:pPr>
        <w:pStyle w:val="17"/>
        <w:spacing w:beforeAutospacing="0" w:afterAutospacing="0" w:line="576" w:lineRule="exac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确保安全，最大限度地减轻干旱灾害的影响和损失，保障人民生命财产的安全和社会的稳定。</w:t>
      </w:r>
    </w:p>
    <w:p>
      <w:pPr>
        <w:adjustRightInd w:val="0"/>
        <w:snapToGrid w:val="0"/>
        <w:spacing w:line="576" w:lineRule="exact"/>
        <w:ind w:firstLine="640" w:firstLineChars="200"/>
        <w:outlineLvl w:val="1"/>
        <w:rPr>
          <w:rFonts w:ascii="黑体" w:hAnsi="黑体" w:eastAsia="黑体" w:cs="黑体"/>
          <w:sz w:val="32"/>
          <w:szCs w:val="32"/>
        </w:rPr>
      </w:pPr>
      <w:bookmarkStart w:id="29" w:name="_Toc3168"/>
      <w:r>
        <w:rPr>
          <w:rFonts w:hint="eastAsia" w:ascii="黑体" w:hAnsi="黑体" w:eastAsia="黑体" w:cs="黑体"/>
          <w:sz w:val="32"/>
          <w:szCs w:val="32"/>
        </w:rPr>
        <w:t>四、评价结论及问题建议</w:t>
      </w:r>
      <w:bookmarkEnd w:id="29"/>
    </w:p>
    <w:p>
      <w:pPr>
        <w:spacing w:line="536" w:lineRule="exact"/>
        <w:ind w:firstLine="643" w:firstLineChars="200"/>
        <w:outlineLvl w:val="2"/>
        <w:rPr>
          <w:rFonts w:ascii="楷体" w:hAnsi="楷体" w:eastAsia="楷体" w:cs="楷体"/>
          <w:b/>
          <w:bCs/>
          <w:color w:val="000000" w:themeColor="text1"/>
          <w:sz w:val="32"/>
          <w:szCs w:val="32"/>
          <w:lang w:val="zh-CN"/>
        </w:rPr>
      </w:pPr>
      <w:bookmarkStart w:id="30" w:name="_Toc10574"/>
      <w:r>
        <w:rPr>
          <w:rFonts w:hint="eastAsia" w:ascii="楷体" w:hAnsi="楷体" w:eastAsia="楷体" w:cs="楷体"/>
          <w:b/>
          <w:bCs/>
          <w:color w:val="000000" w:themeColor="text1"/>
          <w:sz w:val="32"/>
          <w:szCs w:val="32"/>
          <w:lang w:val="zh-CN"/>
        </w:rPr>
        <w:t>（一）评价结论</w:t>
      </w:r>
      <w:bookmarkEnd w:id="30"/>
    </w:p>
    <w:p>
      <w:pPr>
        <w:adjustRightInd w:val="0"/>
        <w:snapToGrid w:val="0"/>
        <w:spacing w:line="576" w:lineRule="exact"/>
        <w:ind w:firstLine="640" w:firstLineChars="200"/>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sz w:val="32"/>
          <w:szCs w:val="32"/>
        </w:rPr>
        <w:t>综合评价情况及评价结论：该项目以维护受灾群众生活生产秩序，增强群众抗旱意识和自救能力为出发点；以完善基础设施为保障点；真正使财政资金实现令人民满意和取得最大绩效。我镇按照《广元市昭化区财政支出事后绩效评价管理办法》（昭府办函〔2022〕37号）开展绩效评价，自评得分为98.5分。</w:t>
      </w:r>
    </w:p>
    <w:p>
      <w:pPr>
        <w:spacing w:line="536" w:lineRule="exact"/>
        <w:ind w:firstLine="643" w:firstLineChars="200"/>
        <w:outlineLvl w:val="2"/>
        <w:rPr>
          <w:rFonts w:ascii="楷体" w:hAnsi="楷体" w:eastAsia="楷体" w:cs="楷体"/>
          <w:b/>
          <w:bCs/>
          <w:color w:val="000000" w:themeColor="text1"/>
          <w:sz w:val="32"/>
          <w:szCs w:val="32"/>
          <w:lang w:val="zh-CN"/>
        </w:rPr>
      </w:pPr>
      <w:bookmarkStart w:id="31" w:name="_Toc14471"/>
      <w:r>
        <w:rPr>
          <w:rFonts w:hint="eastAsia" w:ascii="楷体" w:hAnsi="楷体" w:eastAsia="楷体" w:cs="楷体"/>
          <w:b/>
          <w:bCs/>
          <w:color w:val="000000" w:themeColor="text1"/>
          <w:sz w:val="32"/>
          <w:szCs w:val="32"/>
          <w:lang w:val="zh-CN"/>
        </w:rPr>
        <w:t>（二）存在的问题</w:t>
      </w:r>
      <w:bookmarkEnd w:id="31"/>
    </w:p>
    <w:p>
      <w:pPr>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各村抗旱预案未细化，底数不清。受灾群众覆盖面还有待不断扩充；部分群众未得到有效救助。</w:t>
      </w:r>
    </w:p>
    <w:p>
      <w:pPr>
        <w:spacing w:line="536" w:lineRule="exact"/>
        <w:ind w:firstLine="643" w:firstLineChars="200"/>
        <w:outlineLvl w:val="2"/>
        <w:rPr>
          <w:rFonts w:ascii="楷体" w:hAnsi="楷体" w:eastAsia="楷体" w:cs="楷体"/>
          <w:b/>
          <w:bCs/>
          <w:color w:val="000000" w:themeColor="text1"/>
          <w:sz w:val="32"/>
          <w:szCs w:val="32"/>
          <w:lang w:val="zh-CN"/>
        </w:rPr>
      </w:pPr>
      <w:bookmarkStart w:id="32" w:name="_Toc67"/>
      <w:r>
        <w:rPr>
          <w:rFonts w:hint="eastAsia" w:ascii="楷体" w:hAnsi="楷体" w:eastAsia="楷体" w:cs="楷体"/>
          <w:b/>
          <w:bCs/>
          <w:color w:val="000000" w:themeColor="text1"/>
          <w:sz w:val="32"/>
          <w:szCs w:val="32"/>
          <w:lang w:val="zh-CN"/>
        </w:rPr>
        <w:t>（三）相关措施建议</w:t>
      </w:r>
      <w:bookmarkEnd w:id="32"/>
    </w:p>
    <w:p>
      <w:pPr>
        <w:adjustRightInd w:val="0"/>
        <w:snapToGrid w:val="0"/>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完善应急调水预案，做好水源调度，合理利用雨洪资源，提高水资源利用效率；动员农民群众消除等靠思想，自觉投入抗旱工作中去。</w:t>
      </w:r>
    </w:p>
    <w:p>
      <w:r>
        <w:rPr>
          <w:rFonts w:hint="eastAsia"/>
        </w:rPr>
        <w:br w:type="page"/>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广元市昭化区财政项目(政策)支出绩效</w:t>
      </w:r>
      <w:r>
        <w:rPr>
          <w:rFonts w:hint="eastAsia" w:ascii="方正小标宋简体" w:hAnsi="方正小标宋简体" w:eastAsia="方正小标宋简体" w:cs="方正小标宋简体"/>
          <w:sz w:val="44"/>
          <w:szCs w:val="44"/>
          <w:lang w:eastAsia="zh-CN"/>
        </w:rPr>
        <w:t>自</w:t>
      </w:r>
      <w:r>
        <w:rPr>
          <w:rFonts w:hint="eastAsia" w:ascii="方正小标宋简体" w:hAnsi="方正小标宋简体" w:eastAsia="方正小标宋简体" w:cs="方正小标宋简体"/>
          <w:sz w:val="44"/>
          <w:szCs w:val="44"/>
        </w:rPr>
        <w:t>评表</w:t>
      </w:r>
    </w:p>
    <w:p>
      <w:pPr>
        <w:spacing w:before="86" w:line="219" w:lineRule="auto"/>
        <w:ind w:left="3894"/>
        <w:rPr>
          <w:rFonts w:ascii="宋体" w:hAnsi="宋体" w:cs="宋体"/>
          <w:sz w:val="22"/>
          <w:szCs w:val="22"/>
        </w:rPr>
      </w:pPr>
      <w:r>
        <w:rPr>
          <w:rFonts w:hint="eastAsia" w:ascii="宋体" w:hAnsi="宋体" w:cs="宋体"/>
          <w:sz w:val="22"/>
          <w:szCs w:val="22"/>
        </w:rPr>
        <w:t>（</w:t>
      </w:r>
      <w:r>
        <w:rPr>
          <w:rFonts w:hint="eastAsia" w:ascii="宋体" w:hAnsi="宋体" w:cs="宋体"/>
          <w:spacing w:val="32"/>
          <w:sz w:val="22"/>
          <w:szCs w:val="22"/>
        </w:rPr>
        <w:t>2022</w:t>
      </w:r>
      <w:r>
        <w:rPr>
          <w:rFonts w:ascii="宋体" w:hAnsi="宋体" w:cs="宋体"/>
          <w:spacing w:val="-14"/>
          <w:sz w:val="22"/>
          <w:szCs w:val="22"/>
        </w:rPr>
        <w:t>年度</w:t>
      </w:r>
      <w:r>
        <w:rPr>
          <w:rFonts w:hint="eastAsia" w:ascii="宋体" w:hAnsi="宋体" w:cs="宋体"/>
          <w:sz w:val="22"/>
          <w:szCs w:val="22"/>
        </w:rPr>
        <w:t>）</w:t>
      </w:r>
    </w:p>
    <w:p>
      <w:pPr>
        <w:spacing w:line="134" w:lineRule="exact"/>
      </w:pPr>
    </w:p>
    <w:tbl>
      <w:tblPr>
        <w:tblStyle w:val="35"/>
        <w:tblW w:w="90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
        <w:gridCol w:w="752"/>
        <w:gridCol w:w="999"/>
        <w:gridCol w:w="778"/>
        <w:gridCol w:w="1308"/>
        <w:gridCol w:w="1145"/>
        <w:gridCol w:w="951"/>
        <w:gridCol w:w="24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449" w:type="dxa"/>
            <w:gridSpan w:val="2"/>
          </w:tcPr>
          <w:p>
            <w:pPr>
              <w:spacing w:before="82" w:line="220" w:lineRule="auto"/>
              <w:ind w:left="75"/>
              <w:rPr>
                <w:rFonts w:ascii="仿宋_GB2312" w:hAnsi="仿宋_GB2312" w:eastAsia="仿宋_GB2312" w:cs="仿宋_GB2312"/>
                <w:szCs w:val="21"/>
              </w:rPr>
            </w:pPr>
            <w:r>
              <w:rPr>
                <w:rFonts w:hint="eastAsia" w:ascii="仿宋_GB2312" w:hAnsi="仿宋_GB2312" w:eastAsia="仿宋_GB2312" w:cs="仿宋_GB2312"/>
                <w:spacing w:val="-2"/>
                <w:szCs w:val="21"/>
              </w:rPr>
              <w:t>项目(政策)名称</w:t>
            </w:r>
          </w:p>
        </w:tc>
        <w:tc>
          <w:tcPr>
            <w:tcW w:w="7650" w:type="dxa"/>
            <w:gridSpan w:val="6"/>
          </w:tcPr>
          <w:p>
            <w:pPr>
              <w:rPr>
                <w:rFonts w:ascii="仿宋_GB2312" w:hAnsi="仿宋_GB2312" w:eastAsia="仿宋_GB2312" w:cs="仿宋_GB2312"/>
                <w:szCs w:val="21"/>
              </w:rPr>
            </w:pPr>
            <w:r>
              <w:rPr>
                <w:rFonts w:hint="eastAsia" w:ascii="仿宋_GB2312" w:hAnsi="仿宋_GB2312" w:eastAsia="仿宋_GB2312" w:cs="仿宋_GB2312"/>
                <w:color w:val="000000" w:themeColor="text1"/>
                <w:szCs w:val="21"/>
              </w:rPr>
              <w:t>抗旱应急财政补助资金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tcPr>
          <w:p>
            <w:pPr>
              <w:spacing w:before="78" w:line="219" w:lineRule="auto"/>
              <w:ind w:left="404"/>
              <w:jc w:val="center"/>
              <w:rPr>
                <w:rFonts w:ascii="仿宋_GB2312" w:hAnsi="仿宋_GB2312" w:eastAsia="仿宋_GB2312" w:cs="仿宋_GB2312"/>
                <w:szCs w:val="21"/>
              </w:rPr>
            </w:pPr>
            <w:r>
              <w:rPr>
                <w:rFonts w:hint="eastAsia" w:ascii="仿宋_GB2312" w:hAnsi="仿宋_GB2312" w:eastAsia="仿宋_GB2312" w:cs="仿宋_GB2312"/>
                <w:spacing w:val="4"/>
                <w:szCs w:val="21"/>
              </w:rPr>
              <w:t>主管部门</w:t>
            </w:r>
          </w:p>
        </w:tc>
        <w:tc>
          <w:tcPr>
            <w:tcW w:w="4230" w:type="dxa"/>
            <w:gridSpan w:val="4"/>
          </w:tcPr>
          <w:p>
            <w:pPr>
              <w:rPr>
                <w:rFonts w:ascii="仿宋_GB2312" w:hAnsi="仿宋_GB2312" w:eastAsia="仿宋_GB2312" w:cs="仿宋_GB2312"/>
                <w:szCs w:val="21"/>
              </w:rPr>
            </w:pPr>
            <w:r>
              <w:rPr>
                <w:rFonts w:hint="eastAsia" w:ascii="仿宋_GB2312" w:hAnsi="仿宋_GB2312" w:eastAsia="仿宋_GB2312" w:cs="仿宋_GB2312"/>
                <w:color w:val="000000" w:themeColor="text1"/>
                <w:szCs w:val="21"/>
              </w:rPr>
              <w:t>广元市昭化区人民政府</w:t>
            </w:r>
          </w:p>
        </w:tc>
        <w:tc>
          <w:tcPr>
            <w:tcW w:w="951" w:type="dxa"/>
          </w:tcPr>
          <w:p>
            <w:pPr>
              <w:spacing w:before="78" w:line="219" w:lineRule="auto"/>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实施单位</w:t>
            </w:r>
          </w:p>
        </w:tc>
        <w:tc>
          <w:tcPr>
            <w:tcW w:w="2469" w:type="dxa"/>
          </w:tcPr>
          <w:p>
            <w:pPr>
              <w:spacing w:before="78" w:line="219" w:lineRule="auto"/>
              <w:jc w:val="center"/>
              <w:rPr>
                <w:rFonts w:ascii="仿宋_GB2312" w:hAnsi="仿宋_GB2312" w:eastAsia="仿宋_GB2312" w:cs="仿宋_GB2312"/>
                <w:spacing w:val="4"/>
                <w:szCs w:val="21"/>
              </w:rPr>
            </w:pPr>
            <w:r>
              <w:rPr>
                <w:rFonts w:hint="eastAsia" w:ascii="仿宋_GB2312" w:hAnsi="仿宋_GB2312" w:eastAsia="仿宋_GB2312" w:cs="仿宋_GB2312"/>
                <w:spacing w:val="4"/>
                <w:szCs w:val="21"/>
              </w:rPr>
              <w:t>磨滩镇人民政府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49" w:type="dxa"/>
            <w:gridSpan w:val="2"/>
            <w:vMerge w:val="restart"/>
            <w:tcBorders>
              <w:bottom w:val="nil"/>
            </w:tcBorders>
          </w:tcPr>
          <w:p>
            <w:pPr>
              <w:spacing w:line="279" w:lineRule="auto"/>
              <w:rPr>
                <w:rFonts w:ascii="仿宋_GB2312" w:hAnsi="仿宋_GB2312" w:eastAsia="仿宋_GB2312" w:cs="仿宋_GB2312"/>
                <w:szCs w:val="21"/>
              </w:rPr>
            </w:pPr>
          </w:p>
          <w:p>
            <w:pPr>
              <w:spacing w:line="279" w:lineRule="auto"/>
              <w:rPr>
                <w:rFonts w:ascii="仿宋_GB2312" w:hAnsi="仿宋_GB2312" w:eastAsia="仿宋_GB2312" w:cs="仿宋_GB2312"/>
                <w:szCs w:val="21"/>
              </w:rPr>
            </w:pPr>
          </w:p>
          <w:p>
            <w:pPr>
              <w:spacing w:line="279" w:lineRule="auto"/>
              <w:rPr>
                <w:rFonts w:ascii="仿宋_GB2312" w:hAnsi="仿宋_GB2312" w:eastAsia="仿宋_GB2312" w:cs="仿宋_GB2312"/>
                <w:szCs w:val="21"/>
              </w:rPr>
            </w:pPr>
          </w:p>
          <w:p>
            <w:pPr>
              <w:spacing w:line="279" w:lineRule="auto"/>
              <w:rPr>
                <w:rFonts w:ascii="仿宋_GB2312" w:hAnsi="仿宋_GB2312" w:eastAsia="仿宋_GB2312" w:cs="仿宋_GB2312"/>
                <w:szCs w:val="21"/>
              </w:rPr>
            </w:pPr>
          </w:p>
          <w:p>
            <w:pPr>
              <w:spacing w:line="560" w:lineRule="exact"/>
              <w:rPr>
                <w:rFonts w:ascii="仿宋_GB2312" w:hAnsi="仿宋_GB2312" w:eastAsia="仿宋_GB2312" w:cs="仿宋_GB2312"/>
                <w:szCs w:val="21"/>
              </w:rPr>
            </w:pPr>
            <w:r>
              <w:rPr>
                <w:rFonts w:hint="eastAsia" w:ascii="仿宋_GB2312" w:hAnsi="仿宋_GB2312" w:eastAsia="仿宋_GB2312" w:cs="仿宋_GB2312"/>
                <w:spacing w:val="-2"/>
                <w:szCs w:val="21"/>
              </w:rPr>
              <w:t>项目(政策)资金</w:t>
            </w:r>
            <w:r>
              <w:rPr>
                <w:rFonts w:hint="eastAsia" w:ascii="仿宋_GB2312" w:hAnsi="仿宋_GB2312" w:eastAsia="仿宋_GB2312" w:cs="仿宋_GB2312"/>
                <w:spacing w:val="9"/>
                <w:szCs w:val="21"/>
              </w:rPr>
              <w:t>(万元)</w:t>
            </w:r>
          </w:p>
        </w:tc>
        <w:tc>
          <w:tcPr>
            <w:tcW w:w="1777" w:type="dxa"/>
            <w:gridSpan w:val="2"/>
          </w:tcPr>
          <w:p>
            <w:pPr>
              <w:rPr>
                <w:rFonts w:ascii="仿宋_GB2312" w:hAnsi="仿宋_GB2312" w:eastAsia="仿宋_GB2312" w:cs="仿宋_GB2312"/>
                <w:szCs w:val="21"/>
              </w:rPr>
            </w:pPr>
          </w:p>
        </w:tc>
        <w:tc>
          <w:tcPr>
            <w:tcW w:w="1308" w:type="dxa"/>
          </w:tcPr>
          <w:p>
            <w:pPr>
              <w:spacing w:before="77" w:line="219"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年初预算数</w:t>
            </w:r>
          </w:p>
        </w:tc>
        <w:tc>
          <w:tcPr>
            <w:tcW w:w="1145" w:type="dxa"/>
          </w:tcPr>
          <w:p>
            <w:pPr>
              <w:spacing w:before="98" w:line="219"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全年预算数</w:t>
            </w:r>
          </w:p>
        </w:tc>
        <w:tc>
          <w:tcPr>
            <w:tcW w:w="951" w:type="dxa"/>
          </w:tcPr>
          <w:p>
            <w:pPr>
              <w:spacing w:before="77" w:line="219"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全年执行数</w:t>
            </w:r>
          </w:p>
        </w:tc>
        <w:tc>
          <w:tcPr>
            <w:tcW w:w="2469" w:type="dxa"/>
          </w:tcPr>
          <w:p>
            <w:pPr>
              <w:spacing w:before="77" w:line="219"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执行率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tcPr>
          <w:p>
            <w:pPr>
              <w:rPr>
                <w:rFonts w:ascii="仿宋_GB2312" w:hAnsi="仿宋_GB2312" w:eastAsia="仿宋_GB2312" w:cs="仿宋_GB2312"/>
                <w:szCs w:val="21"/>
              </w:rPr>
            </w:pPr>
          </w:p>
        </w:tc>
        <w:tc>
          <w:tcPr>
            <w:tcW w:w="1777" w:type="dxa"/>
            <w:gridSpan w:val="2"/>
          </w:tcPr>
          <w:p>
            <w:pPr>
              <w:spacing w:before="79" w:line="219" w:lineRule="auto"/>
              <w:ind w:left="151"/>
              <w:rPr>
                <w:rFonts w:ascii="仿宋_GB2312" w:hAnsi="仿宋_GB2312" w:eastAsia="仿宋_GB2312" w:cs="仿宋_GB2312"/>
                <w:szCs w:val="21"/>
              </w:rPr>
            </w:pPr>
            <w:r>
              <w:rPr>
                <w:rFonts w:hint="eastAsia" w:ascii="仿宋_GB2312" w:hAnsi="仿宋_GB2312" w:eastAsia="仿宋_GB2312" w:cs="仿宋_GB2312"/>
                <w:spacing w:val="-2"/>
                <w:szCs w:val="21"/>
              </w:rPr>
              <w:t>年度资金总额</w:t>
            </w:r>
          </w:p>
        </w:tc>
        <w:tc>
          <w:tcPr>
            <w:tcW w:w="1308" w:type="dxa"/>
          </w:tcPr>
          <w:p>
            <w:pPr>
              <w:spacing w:before="77" w:line="219" w:lineRule="auto"/>
              <w:jc w:val="center"/>
              <w:rPr>
                <w:rFonts w:hint="default" w:ascii="仿宋_GB2312" w:hAnsi="仿宋_GB2312" w:eastAsia="仿宋_GB2312" w:cs="仿宋_GB2312"/>
                <w:spacing w:val="-2"/>
                <w:szCs w:val="21"/>
                <w:lang w:val="en-US" w:eastAsia="zh-CN"/>
              </w:rPr>
            </w:pPr>
            <w:r>
              <w:rPr>
                <w:rFonts w:hint="eastAsia" w:ascii="仿宋_GB2312" w:hAnsi="仿宋_GB2312" w:eastAsia="仿宋_GB2312" w:cs="仿宋_GB2312"/>
                <w:spacing w:val="-2"/>
                <w:szCs w:val="21"/>
                <w:lang w:val="en-US" w:eastAsia="zh-CN"/>
              </w:rPr>
              <w:t>10</w:t>
            </w:r>
          </w:p>
        </w:tc>
        <w:tc>
          <w:tcPr>
            <w:tcW w:w="1145" w:type="dxa"/>
          </w:tcPr>
          <w:p>
            <w:pPr>
              <w:spacing w:before="77" w:line="219" w:lineRule="auto"/>
              <w:jc w:val="center"/>
              <w:rPr>
                <w:rFonts w:hint="default" w:ascii="仿宋_GB2312" w:hAnsi="仿宋_GB2312" w:eastAsia="仿宋_GB2312" w:cs="仿宋_GB2312"/>
                <w:spacing w:val="-2"/>
                <w:szCs w:val="21"/>
                <w:lang w:val="en-US" w:eastAsia="zh-CN"/>
              </w:rPr>
            </w:pPr>
            <w:r>
              <w:rPr>
                <w:rFonts w:hint="eastAsia" w:ascii="仿宋_GB2312" w:hAnsi="仿宋_GB2312" w:eastAsia="仿宋_GB2312" w:cs="仿宋_GB2312"/>
                <w:spacing w:val="-2"/>
                <w:szCs w:val="21"/>
                <w:lang w:val="en-US" w:eastAsia="zh-CN"/>
              </w:rPr>
              <w:t>10</w:t>
            </w:r>
          </w:p>
        </w:tc>
        <w:tc>
          <w:tcPr>
            <w:tcW w:w="951" w:type="dxa"/>
          </w:tcPr>
          <w:p>
            <w:pPr>
              <w:spacing w:before="77" w:line="219" w:lineRule="auto"/>
              <w:jc w:val="center"/>
              <w:rPr>
                <w:rFonts w:hint="default" w:ascii="仿宋_GB2312" w:hAnsi="仿宋_GB2312" w:eastAsia="仿宋_GB2312" w:cs="仿宋_GB2312"/>
                <w:spacing w:val="-2"/>
                <w:szCs w:val="21"/>
                <w:lang w:val="en-US" w:eastAsia="zh-CN"/>
              </w:rPr>
            </w:pPr>
            <w:r>
              <w:rPr>
                <w:rFonts w:hint="eastAsia" w:ascii="仿宋_GB2312" w:hAnsi="仿宋_GB2312" w:eastAsia="仿宋_GB2312" w:cs="仿宋_GB2312"/>
                <w:spacing w:val="-2"/>
                <w:szCs w:val="21"/>
                <w:lang w:val="en-US" w:eastAsia="zh-CN"/>
              </w:rPr>
              <w:t>10</w:t>
            </w:r>
          </w:p>
        </w:tc>
        <w:tc>
          <w:tcPr>
            <w:tcW w:w="2469" w:type="dxa"/>
            <w:vAlign w:val="center"/>
          </w:tcPr>
          <w:p>
            <w:pPr>
              <w:spacing w:before="77" w:line="219" w:lineRule="auto"/>
              <w:jc w:val="center"/>
              <w:rPr>
                <w:rFonts w:ascii="仿宋_GB2312" w:hAnsi="仿宋_GB2312" w:eastAsia="仿宋_GB2312" w:cs="仿宋_GB2312"/>
                <w:spacing w:val="-2"/>
                <w:szCs w:val="21"/>
              </w:rPr>
            </w:pPr>
            <w:r>
              <w:rPr>
                <w:rFonts w:hint="eastAsia" w:ascii="仿宋_GB2312" w:hAnsi="仿宋_GB2312" w:eastAsia="仿宋_GB2312" w:cs="仿宋_GB2312"/>
                <w:spacing w:val="-2"/>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49" w:type="dxa"/>
            <w:gridSpan w:val="2"/>
            <w:vMerge w:val="continue"/>
            <w:tcBorders>
              <w:top w:val="nil"/>
              <w:bottom w:val="nil"/>
            </w:tcBorders>
          </w:tcPr>
          <w:p>
            <w:pPr>
              <w:rPr>
                <w:rFonts w:ascii="仿宋_GB2312" w:hAnsi="仿宋_GB2312" w:eastAsia="仿宋_GB2312" w:cs="仿宋_GB2312"/>
                <w:szCs w:val="21"/>
              </w:rPr>
            </w:pPr>
          </w:p>
        </w:tc>
        <w:tc>
          <w:tcPr>
            <w:tcW w:w="1777" w:type="dxa"/>
            <w:gridSpan w:val="2"/>
          </w:tcPr>
          <w:p>
            <w:pPr>
              <w:spacing w:before="109" w:line="219" w:lineRule="auto"/>
              <w:ind w:left="151"/>
              <w:rPr>
                <w:rFonts w:ascii="仿宋_GB2312" w:hAnsi="仿宋_GB2312" w:eastAsia="仿宋_GB2312" w:cs="仿宋_GB2312"/>
                <w:szCs w:val="21"/>
              </w:rPr>
            </w:pPr>
            <w:r>
              <w:rPr>
                <w:rFonts w:hint="eastAsia" w:ascii="仿宋_GB2312" w:hAnsi="仿宋_GB2312" w:eastAsia="仿宋_GB2312" w:cs="仿宋_GB2312"/>
                <w:szCs w:val="21"/>
              </w:rPr>
              <w:t>(一)财政拨款小计</w:t>
            </w:r>
          </w:p>
        </w:tc>
        <w:tc>
          <w:tcPr>
            <w:tcW w:w="1308" w:type="dxa"/>
          </w:tcPr>
          <w:p>
            <w:pPr>
              <w:jc w:val="both"/>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145" w:type="dxa"/>
          </w:tcPr>
          <w:p>
            <w:pPr>
              <w:jc w:val="both"/>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951" w:type="dxa"/>
          </w:tcPr>
          <w:p>
            <w:pPr>
              <w:jc w:val="both"/>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246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pacing w:val="-2"/>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tcPr>
          <w:p>
            <w:pPr>
              <w:rPr>
                <w:rFonts w:ascii="仿宋_GB2312" w:hAnsi="仿宋_GB2312" w:eastAsia="仿宋_GB2312" w:cs="仿宋_GB2312"/>
                <w:szCs w:val="21"/>
              </w:rPr>
            </w:pPr>
          </w:p>
        </w:tc>
        <w:tc>
          <w:tcPr>
            <w:tcW w:w="1777" w:type="dxa"/>
            <w:gridSpan w:val="2"/>
          </w:tcPr>
          <w:p>
            <w:pPr>
              <w:spacing w:before="80" w:line="219" w:lineRule="auto"/>
              <w:ind w:left="151"/>
              <w:rPr>
                <w:rFonts w:ascii="仿宋_GB2312" w:hAnsi="仿宋_GB2312" w:eastAsia="仿宋_GB2312" w:cs="仿宋_GB2312"/>
                <w:szCs w:val="21"/>
              </w:rPr>
            </w:pPr>
            <w:r>
              <w:rPr>
                <w:rFonts w:hint="eastAsia" w:ascii="仿宋_GB2312" w:hAnsi="仿宋_GB2312" w:eastAsia="仿宋_GB2312" w:cs="仿宋_GB2312"/>
                <w:szCs w:val="21"/>
              </w:rPr>
              <w:t>1.一般公共预算</w:t>
            </w:r>
          </w:p>
        </w:tc>
        <w:tc>
          <w:tcPr>
            <w:tcW w:w="1308" w:type="dxa"/>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1145" w:type="dxa"/>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951" w:type="dxa"/>
          </w:tcPr>
          <w:p>
            <w:pPr>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10</w:t>
            </w:r>
          </w:p>
        </w:tc>
        <w:tc>
          <w:tcPr>
            <w:tcW w:w="246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pacing w:val="-2"/>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8" w:hRule="atLeast"/>
        </w:trPr>
        <w:tc>
          <w:tcPr>
            <w:tcW w:w="1449" w:type="dxa"/>
            <w:gridSpan w:val="2"/>
            <w:vMerge w:val="continue"/>
            <w:tcBorders>
              <w:top w:val="nil"/>
              <w:bottom w:val="nil"/>
            </w:tcBorders>
          </w:tcPr>
          <w:p>
            <w:pPr>
              <w:rPr>
                <w:rFonts w:ascii="仿宋_GB2312" w:hAnsi="仿宋_GB2312" w:eastAsia="仿宋_GB2312" w:cs="仿宋_GB2312"/>
                <w:szCs w:val="21"/>
              </w:rPr>
            </w:pPr>
          </w:p>
        </w:tc>
        <w:tc>
          <w:tcPr>
            <w:tcW w:w="1777" w:type="dxa"/>
            <w:gridSpan w:val="2"/>
          </w:tcPr>
          <w:p>
            <w:pPr>
              <w:spacing w:before="78" w:line="219" w:lineRule="auto"/>
              <w:ind w:left="151"/>
              <w:rPr>
                <w:rFonts w:ascii="仿宋_GB2312" w:hAnsi="仿宋_GB2312" w:eastAsia="仿宋_GB2312" w:cs="仿宋_GB2312"/>
                <w:szCs w:val="21"/>
              </w:rPr>
            </w:pPr>
            <w:r>
              <w:rPr>
                <w:rFonts w:hint="eastAsia" w:ascii="仿宋_GB2312" w:hAnsi="仿宋_GB2312" w:eastAsia="仿宋_GB2312" w:cs="仿宋_GB2312"/>
                <w:spacing w:val="-2"/>
                <w:szCs w:val="21"/>
              </w:rPr>
              <w:t>2.政府性基金</w:t>
            </w:r>
          </w:p>
        </w:tc>
        <w:tc>
          <w:tcPr>
            <w:tcW w:w="1308" w:type="dxa"/>
          </w:tcPr>
          <w:p>
            <w:pPr>
              <w:rPr>
                <w:rFonts w:ascii="仿宋_GB2312" w:hAnsi="仿宋_GB2312" w:eastAsia="仿宋_GB2312" w:cs="仿宋_GB2312"/>
                <w:szCs w:val="21"/>
              </w:rPr>
            </w:pPr>
          </w:p>
        </w:tc>
        <w:tc>
          <w:tcPr>
            <w:tcW w:w="1145" w:type="dxa"/>
          </w:tcPr>
          <w:p>
            <w:pPr>
              <w:rPr>
                <w:rFonts w:ascii="仿宋_GB2312" w:hAnsi="仿宋_GB2312" w:eastAsia="仿宋_GB2312" w:cs="仿宋_GB2312"/>
                <w:szCs w:val="21"/>
              </w:rPr>
            </w:pPr>
          </w:p>
        </w:tc>
        <w:tc>
          <w:tcPr>
            <w:tcW w:w="951" w:type="dxa"/>
          </w:tcPr>
          <w:p>
            <w:pPr>
              <w:rPr>
                <w:rFonts w:ascii="仿宋_GB2312" w:hAnsi="仿宋_GB2312" w:eastAsia="仿宋_GB2312" w:cs="仿宋_GB2312"/>
                <w:szCs w:val="21"/>
              </w:rPr>
            </w:pPr>
          </w:p>
        </w:tc>
        <w:tc>
          <w:tcPr>
            <w:tcW w:w="2469" w:type="dxa"/>
          </w:tcPr>
          <w:p>
            <w:pP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1449" w:type="dxa"/>
            <w:gridSpan w:val="2"/>
            <w:vMerge w:val="continue"/>
            <w:tcBorders>
              <w:top w:val="nil"/>
              <w:bottom w:val="nil"/>
            </w:tcBorders>
          </w:tcPr>
          <w:p>
            <w:pPr>
              <w:rPr>
                <w:rFonts w:ascii="仿宋_GB2312" w:hAnsi="仿宋_GB2312" w:eastAsia="仿宋_GB2312" w:cs="仿宋_GB2312"/>
                <w:szCs w:val="21"/>
              </w:rPr>
            </w:pPr>
          </w:p>
        </w:tc>
        <w:tc>
          <w:tcPr>
            <w:tcW w:w="1777" w:type="dxa"/>
            <w:gridSpan w:val="2"/>
          </w:tcPr>
          <w:p>
            <w:pPr>
              <w:spacing w:before="119" w:line="219" w:lineRule="auto"/>
              <w:ind w:left="151"/>
              <w:rPr>
                <w:rFonts w:ascii="仿宋_GB2312" w:hAnsi="仿宋_GB2312" w:eastAsia="仿宋_GB2312" w:cs="仿宋_GB2312"/>
                <w:szCs w:val="21"/>
              </w:rPr>
            </w:pPr>
            <w:r>
              <w:rPr>
                <w:rFonts w:hint="eastAsia" w:ascii="仿宋_GB2312" w:hAnsi="仿宋_GB2312" w:eastAsia="仿宋_GB2312" w:cs="仿宋_GB2312"/>
                <w:spacing w:val="-1"/>
                <w:szCs w:val="21"/>
              </w:rPr>
              <w:t>3.国有资本经营预算</w:t>
            </w:r>
          </w:p>
        </w:tc>
        <w:tc>
          <w:tcPr>
            <w:tcW w:w="1308" w:type="dxa"/>
          </w:tcPr>
          <w:p>
            <w:pPr>
              <w:rPr>
                <w:rFonts w:ascii="仿宋_GB2312" w:hAnsi="仿宋_GB2312" w:eastAsia="仿宋_GB2312" w:cs="仿宋_GB2312"/>
                <w:szCs w:val="21"/>
              </w:rPr>
            </w:pPr>
          </w:p>
        </w:tc>
        <w:tc>
          <w:tcPr>
            <w:tcW w:w="1145" w:type="dxa"/>
          </w:tcPr>
          <w:p>
            <w:pPr>
              <w:rPr>
                <w:rFonts w:ascii="仿宋_GB2312" w:hAnsi="仿宋_GB2312" w:eastAsia="仿宋_GB2312" w:cs="仿宋_GB2312"/>
                <w:szCs w:val="21"/>
              </w:rPr>
            </w:pPr>
          </w:p>
        </w:tc>
        <w:tc>
          <w:tcPr>
            <w:tcW w:w="951" w:type="dxa"/>
          </w:tcPr>
          <w:p>
            <w:pPr>
              <w:rPr>
                <w:rFonts w:ascii="仿宋_GB2312" w:hAnsi="仿宋_GB2312" w:eastAsia="仿宋_GB2312" w:cs="仿宋_GB2312"/>
                <w:szCs w:val="21"/>
              </w:rPr>
            </w:pPr>
          </w:p>
        </w:tc>
        <w:tc>
          <w:tcPr>
            <w:tcW w:w="2469" w:type="dxa"/>
          </w:tcPr>
          <w:p>
            <w:pP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449" w:type="dxa"/>
            <w:gridSpan w:val="2"/>
            <w:vMerge w:val="continue"/>
            <w:tcBorders>
              <w:top w:val="nil"/>
              <w:bottom w:val="nil"/>
            </w:tcBorders>
          </w:tcPr>
          <w:p>
            <w:pPr>
              <w:rPr>
                <w:rFonts w:ascii="仿宋_GB2312" w:hAnsi="仿宋_GB2312" w:eastAsia="仿宋_GB2312" w:cs="仿宋_GB2312"/>
                <w:szCs w:val="21"/>
              </w:rPr>
            </w:pPr>
          </w:p>
        </w:tc>
        <w:tc>
          <w:tcPr>
            <w:tcW w:w="1777" w:type="dxa"/>
            <w:gridSpan w:val="2"/>
          </w:tcPr>
          <w:p>
            <w:pPr>
              <w:spacing w:before="82" w:line="219" w:lineRule="auto"/>
              <w:ind w:left="151"/>
              <w:rPr>
                <w:rFonts w:ascii="仿宋_GB2312" w:hAnsi="仿宋_GB2312" w:eastAsia="仿宋_GB2312" w:cs="仿宋_GB2312"/>
                <w:szCs w:val="21"/>
              </w:rPr>
            </w:pPr>
            <w:r>
              <w:rPr>
                <w:rFonts w:hint="eastAsia" w:ascii="仿宋_GB2312" w:hAnsi="仿宋_GB2312" w:eastAsia="仿宋_GB2312" w:cs="仿宋_GB2312"/>
                <w:spacing w:val="-1"/>
                <w:szCs w:val="21"/>
              </w:rPr>
              <w:t>4.社保基金</w:t>
            </w:r>
          </w:p>
        </w:tc>
        <w:tc>
          <w:tcPr>
            <w:tcW w:w="1308" w:type="dxa"/>
          </w:tcPr>
          <w:p>
            <w:pPr>
              <w:rPr>
                <w:rFonts w:ascii="仿宋_GB2312" w:hAnsi="仿宋_GB2312" w:eastAsia="仿宋_GB2312" w:cs="仿宋_GB2312"/>
                <w:szCs w:val="21"/>
              </w:rPr>
            </w:pPr>
          </w:p>
        </w:tc>
        <w:tc>
          <w:tcPr>
            <w:tcW w:w="1145" w:type="dxa"/>
          </w:tcPr>
          <w:p>
            <w:pPr>
              <w:rPr>
                <w:rFonts w:ascii="仿宋_GB2312" w:hAnsi="仿宋_GB2312" w:eastAsia="仿宋_GB2312" w:cs="仿宋_GB2312"/>
                <w:szCs w:val="21"/>
              </w:rPr>
            </w:pPr>
          </w:p>
        </w:tc>
        <w:tc>
          <w:tcPr>
            <w:tcW w:w="951" w:type="dxa"/>
          </w:tcPr>
          <w:p>
            <w:pPr>
              <w:rPr>
                <w:rFonts w:ascii="仿宋_GB2312" w:hAnsi="仿宋_GB2312" w:eastAsia="仿宋_GB2312" w:cs="仿宋_GB2312"/>
                <w:szCs w:val="21"/>
              </w:rPr>
            </w:pPr>
          </w:p>
        </w:tc>
        <w:tc>
          <w:tcPr>
            <w:tcW w:w="2469" w:type="dxa"/>
          </w:tcPr>
          <w:p>
            <w:pP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rPr>
        <w:tc>
          <w:tcPr>
            <w:tcW w:w="1449" w:type="dxa"/>
            <w:gridSpan w:val="2"/>
            <w:vMerge w:val="continue"/>
            <w:tcBorders>
              <w:top w:val="nil"/>
            </w:tcBorders>
          </w:tcPr>
          <w:p>
            <w:pPr>
              <w:rPr>
                <w:rFonts w:ascii="仿宋_GB2312" w:hAnsi="仿宋_GB2312" w:eastAsia="仿宋_GB2312" w:cs="仿宋_GB2312"/>
                <w:szCs w:val="21"/>
              </w:rPr>
            </w:pPr>
          </w:p>
        </w:tc>
        <w:tc>
          <w:tcPr>
            <w:tcW w:w="1777" w:type="dxa"/>
            <w:gridSpan w:val="2"/>
          </w:tcPr>
          <w:p>
            <w:pPr>
              <w:spacing w:before="112" w:line="220" w:lineRule="auto"/>
              <w:ind w:left="151"/>
              <w:rPr>
                <w:rFonts w:ascii="仿宋_GB2312" w:hAnsi="仿宋_GB2312" w:eastAsia="仿宋_GB2312" w:cs="仿宋_GB2312"/>
                <w:szCs w:val="21"/>
              </w:rPr>
            </w:pPr>
            <w:r>
              <w:rPr>
                <w:rFonts w:hint="eastAsia" w:ascii="仿宋_GB2312" w:hAnsi="仿宋_GB2312" w:eastAsia="仿宋_GB2312" w:cs="仿宋_GB2312"/>
                <w:spacing w:val="1"/>
                <w:szCs w:val="21"/>
              </w:rPr>
              <w:t>(二)其他资金</w:t>
            </w:r>
          </w:p>
        </w:tc>
        <w:tc>
          <w:tcPr>
            <w:tcW w:w="1308" w:type="dxa"/>
          </w:tcPr>
          <w:p>
            <w:pPr>
              <w:rPr>
                <w:rFonts w:ascii="仿宋_GB2312" w:hAnsi="仿宋_GB2312" w:eastAsia="仿宋_GB2312" w:cs="仿宋_GB2312"/>
                <w:szCs w:val="21"/>
              </w:rPr>
            </w:pPr>
          </w:p>
        </w:tc>
        <w:tc>
          <w:tcPr>
            <w:tcW w:w="1145" w:type="dxa"/>
          </w:tcPr>
          <w:p>
            <w:pPr>
              <w:rPr>
                <w:rFonts w:ascii="仿宋_GB2312" w:hAnsi="仿宋_GB2312" w:eastAsia="仿宋_GB2312" w:cs="仿宋_GB2312"/>
                <w:szCs w:val="21"/>
              </w:rPr>
            </w:pPr>
          </w:p>
        </w:tc>
        <w:tc>
          <w:tcPr>
            <w:tcW w:w="951" w:type="dxa"/>
          </w:tcPr>
          <w:p>
            <w:pPr>
              <w:rPr>
                <w:rFonts w:ascii="仿宋_GB2312" w:hAnsi="仿宋_GB2312" w:eastAsia="仿宋_GB2312" w:cs="仿宋_GB2312"/>
                <w:szCs w:val="21"/>
              </w:rPr>
            </w:pPr>
          </w:p>
        </w:tc>
        <w:tc>
          <w:tcPr>
            <w:tcW w:w="2469" w:type="dxa"/>
          </w:tcPr>
          <w:p>
            <w:pP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697" w:type="dxa"/>
            <w:vMerge w:val="restart"/>
            <w:tcBorders>
              <w:bottom w:val="nil"/>
            </w:tcBorders>
          </w:tcPr>
          <w:p>
            <w:pPr>
              <w:spacing w:line="385" w:lineRule="auto"/>
              <w:rPr>
                <w:rFonts w:ascii="仿宋_GB2312" w:hAnsi="仿宋_GB2312" w:eastAsia="仿宋_GB2312" w:cs="仿宋_GB2312"/>
                <w:szCs w:val="21"/>
              </w:rPr>
            </w:pPr>
          </w:p>
          <w:p>
            <w:pPr>
              <w:spacing w:before="55" w:line="219" w:lineRule="auto"/>
              <w:ind w:left="194" w:right="2" w:hanging="139"/>
              <w:rPr>
                <w:rFonts w:ascii="仿宋_GB2312" w:hAnsi="仿宋_GB2312" w:eastAsia="仿宋_GB2312" w:cs="仿宋_GB2312"/>
                <w:szCs w:val="21"/>
              </w:rPr>
            </w:pPr>
            <w:r>
              <w:rPr>
                <w:rFonts w:hint="eastAsia" w:ascii="仿宋_GB2312" w:hAnsi="仿宋_GB2312" w:eastAsia="仿宋_GB2312" w:cs="仿宋_GB2312"/>
                <w:spacing w:val="-11"/>
                <w:szCs w:val="21"/>
              </w:rPr>
              <w:t>年度总体</w:t>
            </w:r>
            <w:r>
              <w:rPr>
                <w:rFonts w:hint="eastAsia" w:ascii="仿宋_GB2312" w:hAnsi="仿宋_GB2312" w:eastAsia="仿宋_GB2312" w:cs="仿宋_GB2312"/>
                <w:szCs w:val="21"/>
              </w:rPr>
              <w:t xml:space="preserve"> </w:t>
            </w:r>
            <w:r>
              <w:rPr>
                <w:rFonts w:hint="eastAsia" w:ascii="仿宋_GB2312" w:hAnsi="仿宋_GB2312" w:eastAsia="仿宋_GB2312" w:cs="仿宋_GB2312"/>
                <w:spacing w:val="6"/>
                <w:szCs w:val="21"/>
              </w:rPr>
              <w:t>目标</w:t>
            </w:r>
          </w:p>
        </w:tc>
        <w:tc>
          <w:tcPr>
            <w:tcW w:w="5933" w:type="dxa"/>
            <w:gridSpan w:val="6"/>
          </w:tcPr>
          <w:p>
            <w:pPr>
              <w:spacing w:before="183" w:line="220"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预期目标</w:t>
            </w:r>
          </w:p>
        </w:tc>
        <w:tc>
          <w:tcPr>
            <w:tcW w:w="2469" w:type="dxa"/>
          </w:tcPr>
          <w:p>
            <w:pPr>
              <w:spacing w:before="183" w:line="220" w:lineRule="auto"/>
              <w:jc w:val="center"/>
              <w:rPr>
                <w:rFonts w:ascii="仿宋_GB2312" w:hAnsi="仿宋_GB2312" w:eastAsia="仿宋_GB2312" w:cs="仿宋_GB2312"/>
                <w:spacing w:val="-2"/>
                <w:szCs w:val="21"/>
              </w:rPr>
            </w:pPr>
            <w:r>
              <w:rPr>
                <w:rFonts w:hint="eastAsia" w:ascii="仿宋_GB2312" w:hAnsi="仿宋_GB2312" w:eastAsia="仿宋_GB2312" w:cs="仿宋_GB2312"/>
                <w:spacing w:val="-2"/>
                <w:szCs w:val="21"/>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4" w:hRule="atLeast"/>
        </w:trPr>
        <w:tc>
          <w:tcPr>
            <w:tcW w:w="697" w:type="dxa"/>
            <w:vMerge w:val="continue"/>
            <w:tcBorders>
              <w:top w:val="nil"/>
            </w:tcBorders>
          </w:tcPr>
          <w:p>
            <w:pPr>
              <w:rPr>
                <w:rFonts w:ascii="仿宋_GB2312" w:hAnsi="仿宋_GB2312" w:eastAsia="仿宋_GB2312" w:cs="仿宋_GB2312"/>
                <w:szCs w:val="21"/>
              </w:rPr>
            </w:pPr>
          </w:p>
        </w:tc>
        <w:tc>
          <w:tcPr>
            <w:tcW w:w="5933" w:type="dxa"/>
            <w:gridSpan w:val="6"/>
            <w:vAlign w:val="center"/>
          </w:tcPr>
          <w:p>
            <w:pPr>
              <w:rPr>
                <w:rFonts w:ascii="仿宋_GB2312" w:hAnsi="仿宋_GB2312" w:eastAsia="仿宋_GB2312" w:cs="仿宋_GB2312"/>
                <w:spacing w:val="-2"/>
                <w:szCs w:val="21"/>
              </w:rPr>
            </w:pPr>
            <w:r>
              <w:rPr>
                <w:rFonts w:hint="eastAsia" w:ascii="仿宋_GB2312" w:hAnsi="仿宋_GB2312" w:eastAsia="仿宋_GB2312" w:cs="仿宋_GB2312"/>
                <w:spacing w:val="-2"/>
                <w:szCs w:val="21"/>
                <w:lang w:val="zh-CN"/>
              </w:rPr>
              <w:t xml:space="preserve">    用于送水燃油、抽水电价的补助及人饮及渠系维护，解决受灾人畜饮水困难问题，确保受灾群众生活生产秩序正常，增强群众抗旱意识和自救能力，使受灾群众对解决生活饮水、抗旱满意度达98%。</w:t>
            </w:r>
          </w:p>
          <w:p>
            <w:pPr>
              <w:rPr>
                <w:rFonts w:ascii="仿宋_GB2312" w:hAnsi="仿宋_GB2312" w:eastAsia="仿宋_GB2312" w:cs="仿宋_GB2312"/>
                <w:szCs w:val="21"/>
              </w:rPr>
            </w:pPr>
          </w:p>
        </w:tc>
        <w:tc>
          <w:tcPr>
            <w:tcW w:w="2469" w:type="dxa"/>
            <w:vAlign w:val="center"/>
          </w:tcPr>
          <w:p>
            <w:pPr>
              <w:rPr>
                <w:rFonts w:ascii="仿宋_GB2312" w:hAnsi="仿宋_GB2312" w:eastAsia="仿宋_GB2312" w:cs="仿宋_GB2312"/>
                <w:spacing w:val="-2"/>
                <w:szCs w:val="21"/>
              </w:rPr>
            </w:pPr>
            <w:r>
              <w:rPr>
                <w:rFonts w:hint="eastAsia" w:ascii="仿宋_GB2312" w:hAnsi="仿宋_GB2312" w:eastAsia="仿宋_GB2312" w:cs="仿宋_GB2312"/>
                <w:spacing w:val="-2"/>
                <w:szCs w:val="21"/>
                <w:lang w:val="zh-CN"/>
              </w:rPr>
              <w:t xml:space="preserve">     用于送水燃油、抽水电价的补助及人饮及渠系维护，解决受灾人畜饮水困难问题，确保受灾群众生活生产秩序正常，增强群众抗旱意识和自救能力，使受灾群众对解决生活饮水、抗旱满意度达98%。</w:t>
            </w:r>
          </w:p>
          <w:p>
            <w:pPr>
              <w:spacing w:before="183" w:line="220" w:lineRule="auto"/>
              <w:rPr>
                <w:rFonts w:ascii="仿宋_GB2312" w:hAnsi="仿宋_GB2312" w:eastAsia="仿宋_GB2312" w:cs="仿宋_GB2312"/>
                <w:spacing w:val="-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 w:hRule="atLeast"/>
        </w:trPr>
        <w:tc>
          <w:tcPr>
            <w:tcW w:w="697" w:type="dxa"/>
            <w:vMerge w:val="restart"/>
          </w:tcPr>
          <w:p>
            <w:pPr>
              <w:spacing w:line="253" w:lineRule="auto"/>
              <w:jc w:val="center"/>
              <w:rPr>
                <w:rFonts w:ascii="仿宋_GB2312" w:hAnsi="仿宋_GB2312" w:eastAsia="仿宋_GB2312" w:cs="仿宋_GB2312"/>
                <w:szCs w:val="21"/>
              </w:rPr>
            </w:pPr>
          </w:p>
          <w:p>
            <w:pPr>
              <w:spacing w:line="253" w:lineRule="auto"/>
              <w:jc w:val="center"/>
              <w:rPr>
                <w:rFonts w:ascii="仿宋_GB2312" w:hAnsi="仿宋_GB2312" w:eastAsia="仿宋_GB2312" w:cs="仿宋_GB2312"/>
                <w:szCs w:val="21"/>
              </w:rPr>
            </w:pPr>
          </w:p>
          <w:p>
            <w:pPr>
              <w:spacing w:line="253"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line="254" w:lineRule="auto"/>
              <w:jc w:val="center"/>
              <w:rPr>
                <w:rFonts w:ascii="仿宋_GB2312" w:hAnsi="仿宋_GB2312" w:eastAsia="仿宋_GB2312" w:cs="仿宋_GB2312"/>
                <w:szCs w:val="21"/>
              </w:rPr>
            </w:pPr>
          </w:p>
          <w:p>
            <w:pPr>
              <w:spacing w:before="56" w:line="220" w:lineRule="auto"/>
              <w:ind w:left="55"/>
              <w:jc w:val="center"/>
              <w:rPr>
                <w:rFonts w:ascii="仿宋_GB2312" w:hAnsi="仿宋_GB2312" w:eastAsia="仿宋_GB2312" w:cs="仿宋_GB2312"/>
                <w:szCs w:val="21"/>
              </w:rPr>
            </w:pPr>
            <w:r>
              <w:rPr>
                <w:rFonts w:hint="eastAsia" w:ascii="仿宋_GB2312" w:hAnsi="仿宋_GB2312" w:eastAsia="仿宋_GB2312" w:cs="仿宋_GB2312"/>
                <w:spacing w:val="-11"/>
                <w:szCs w:val="21"/>
              </w:rPr>
              <w:t>绩效指标</w:t>
            </w:r>
          </w:p>
        </w:tc>
        <w:tc>
          <w:tcPr>
            <w:tcW w:w="752" w:type="dxa"/>
            <w:tcBorders>
              <w:bottom w:val="single" w:color="auto" w:sz="4" w:space="0"/>
              <w:right w:val="single" w:color="auto" w:sz="4" w:space="0"/>
            </w:tcBorders>
          </w:tcPr>
          <w:p>
            <w:pPr>
              <w:spacing w:before="155" w:line="220" w:lineRule="auto"/>
              <w:ind w:left="40"/>
              <w:jc w:val="center"/>
              <w:rPr>
                <w:rFonts w:ascii="仿宋_GB2312" w:hAnsi="仿宋_GB2312" w:eastAsia="仿宋_GB2312" w:cs="仿宋_GB2312"/>
                <w:szCs w:val="21"/>
              </w:rPr>
            </w:pPr>
            <w:r>
              <w:rPr>
                <w:rFonts w:hint="eastAsia" w:ascii="仿宋_GB2312" w:hAnsi="仿宋_GB2312" w:eastAsia="仿宋_GB2312" w:cs="仿宋_GB2312"/>
                <w:spacing w:val="-2"/>
                <w:szCs w:val="21"/>
              </w:rPr>
              <w:t>一级指标</w:t>
            </w:r>
          </w:p>
        </w:tc>
        <w:tc>
          <w:tcPr>
            <w:tcW w:w="999" w:type="dxa"/>
            <w:tcBorders>
              <w:top w:val="single" w:color="auto" w:sz="4" w:space="0"/>
              <w:left w:val="single" w:color="auto" w:sz="4" w:space="0"/>
              <w:bottom w:val="single" w:color="auto" w:sz="4" w:space="0"/>
              <w:right w:val="single" w:color="auto" w:sz="4" w:space="0"/>
            </w:tcBorders>
          </w:tcPr>
          <w:p>
            <w:pPr>
              <w:spacing w:before="155" w:line="220"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二级指标</w:t>
            </w:r>
          </w:p>
        </w:tc>
        <w:tc>
          <w:tcPr>
            <w:tcW w:w="2086" w:type="dxa"/>
            <w:gridSpan w:val="2"/>
            <w:tcBorders>
              <w:left w:val="single" w:color="auto" w:sz="4" w:space="0"/>
            </w:tcBorders>
          </w:tcPr>
          <w:p>
            <w:pPr>
              <w:spacing w:before="155" w:line="220"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三级指标</w:t>
            </w:r>
          </w:p>
        </w:tc>
        <w:tc>
          <w:tcPr>
            <w:tcW w:w="1145" w:type="dxa"/>
          </w:tcPr>
          <w:p>
            <w:pPr>
              <w:spacing w:before="155" w:line="219"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年度指标值</w:t>
            </w:r>
          </w:p>
        </w:tc>
        <w:tc>
          <w:tcPr>
            <w:tcW w:w="951" w:type="dxa"/>
          </w:tcPr>
          <w:p>
            <w:pPr>
              <w:spacing w:before="155" w:line="219" w:lineRule="auto"/>
              <w:jc w:val="center"/>
              <w:rPr>
                <w:rFonts w:ascii="仿宋_GB2312" w:hAnsi="仿宋_GB2312" w:eastAsia="仿宋_GB2312" w:cs="仿宋_GB2312"/>
                <w:szCs w:val="21"/>
              </w:rPr>
            </w:pPr>
            <w:r>
              <w:rPr>
                <w:rFonts w:hint="eastAsia" w:ascii="仿宋_GB2312" w:hAnsi="仿宋_GB2312" w:eastAsia="仿宋_GB2312" w:cs="仿宋_GB2312"/>
                <w:spacing w:val="-2"/>
                <w:szCs w:val="21"/>
              </w:rPr>
              <w:t>实际完成值</w:t>
            </w:r>
          </w:p>
        </w:tc>
        <w:tc>
          <w:tcPr>
            <w:tcW w:w="2469" w:type="dxa"/>
          </w:tcPr>
          <w:p>
            <w:pPr>
              <w:spacing w:before="75" w:line="227" w:lineRule="auto"/>
              <w:jc w:val="center"/>
              <w:rPr>
                <w:rFonts w:ascii="仿宋_GB2312" w:hAnsi="仿宋_GB2312" w:eastAsia="仿宋_GB2312" w:cs="仿宋_GB2312"/>
                <w:szCs w:val="21"/>
              </w:rPr>
            </w:pPr>
            <w:r>
              <w:rPr>
                <w:rFonts w:hint="eastAsia" w:ascii="仿宋_GB2312" w:hAnsi="仿宋_GB2312" w:eastAsia="仿宋_GB2312" w:cs="仿宋_GB2312"/>
                <w:szCs w:val="21"/>
              </w:rPr>
              <w:t>偏差原因分析及</w:t>
            </w:r>
            <w:r>
              <w:rPr>
                <w:rFonts w:hint="eastAsia" w:ascii="仿宋_GB2312" w:hAnsi="仿宋_GB2312" w:eastAsia="仿宋_GB2312" w:cs="仿宋_GB2312"/>
                <w:spacing w:val="11"/>
                <w:szCs w:val="21"/>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restart"/>
            <w:tcBorders>
              <w:top w:val="single" w:color="auto" w:sz="4" w:space="0"/>
              <w:left w:val="single" w:color="auto" w:sz="4" w:space="0"/>
              <w:bottom w:val="single" w:color="auto" w:sz="4" w:space="0"/>
              <w:right w:val="single" w:color="auto" w:sz="4" w:space="0"/>
            </w:tcBorders>
            <w:vAlign w:val="center"/>
          </w:tcPr>
          <w:p>
            <w:pPr>
              <w:spacing w:line="286" w:lineRule="auto"/>
              <w:jc w:val="center"/>
              <w:rPr>
                <w:rFonts w:ascii="仿宋_GB2312" w:hAnsi="仿宋_GB2312" w:eastAsia="仿宋_GB2312" w:cs="仿宋_GB2312"/>
                <w:szCs w:val="21"/>
              </w:rPr>
            </w:pPr>
          </w:p>
          <w:p>
            <w:pPr>
              <w:spacing w:line="286" w:lineRule="auto"/>
              <w:jc w:val="center"/>
              <w:rPr>
                <w:rFonts w:ascii="仿宋_GB2312" w:hAnsi="仿宋_GB2312" w:eastAsia="仿宋_GB2312" w:cs="仿宋_GB2312"/>
                <w:szCs w:val="21"/>
              </w:rPr>
            </w:pPr>
          </w:p>
          <w:p>
            <w:pPr>
              <w:spacing w:line="286" w:lineRule="auto"/>
              <w:jc w:val="center"/>
              <w:rPr>
                <w:rFonts w:ascii="仿宋_GB2312" w:hAnsi="仿宋_GB2312" w:eastAsia="仿宋_GB2312" w:cs="仿宋_GB2312"/>
                <w:szCs w:val="21"/>
              </w:rPr>
            </w:pPr>
          </w:p>
          <w:p>
            <w:pPr>
              <w:spacing w:line="286" w:lineRule="auto"/>
              <w:jc w:val="center"/>
              <w:rPr>
                <w:rFonts w:ascii="仿宋_GB2312" w:hAnsi="仿宋_GB2312" w:eastAsia="仿宋_GB2312" w:cs="仿宋_GB2312"/>
                <w:szCs w:val="21"/>
              </w:rPr>
            </w:pPr>
          </w:p>
          <w:p>
            <w:pPr>
              <w:spacing w:line="287" w:lineRule="auto"/>
              <w:jc w:val="center"/>
              <w:rPr>
                <w:rFonts w:ascii="仿宋_GB2312" w:hAnsi="仿宋_GB2312" w:eastAsia="仿宋_GB2312" w:cs="仿宋_GB2312"/>
                <w:szCs w:val="21"/>
              </w:rPr>
            </w:pPr>
          </w:p>
          <w:p>
            <w:pPr>
              <w:spacing w:before="56" w:line="219" w:lineRule="auto"/>
              <w:ind w:left="40"/>
              <w:jc w:val="center"/>
              <w:rPr>
                <w:rFonts w:ascii="仿宋_GB2312" w:hAnsi="仿宋_GB2312" w:eastAsia="仿宋_GB2312" w:cs="仿宋_GB2312"/>
                <w:szCs w:val="21"/>
              </w:rPr>
            </w:pPr>
            <w:r>
              <w:rPr>
                <w:rFonts w:hint="eastAsia" w:ascii="仿宋_GB2312" w:hAnsi="仿宋_GB2312" w:eastAsia="仿宋_GB2312" w:cs="仿宋_GB2312"/>
                <w:spacing w:val="-2"/>
                <w:szCs w:val="21"/>
              </w:rPr>
              <w:t>产出指标</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时效指标</w:t>
            </w:r>
          </w:p>
        </w:tc>
        <w:tc>
          <w:tcPr>
            <w:tcW w:w="2086" w:type="dxa"/>
            <w:gridSpan w:val="2"/>
            <w:tcBorders>
              <w:left w:val="single" w:color="auto" w:sz="4" w:space="0"/>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抗旱资金兑付及时率</w:t>
            </w:r>
          </w:p>
        </w:tc>
        <w:tc>
          <w:tcPr>
            <w:tcW w:w="1145"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≥95%</w:t>
            </w:r>
          </w:p>
        </w:tc>
        <w:tc>
          <w:tcPr>
            <w:tcW w:w="951"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98%</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999" w:type="dxa"/>
            <w:tcBorders>
              <w:top w:val="single" w:color="auto" w:sz="4" w:space="0"/>
              <w:left w:val="single" w:color="auto" w:sz="4" w:space="0"/>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质量指标</w:t>
            </w:r>
          </w:p>
        </w:tc>
        <w:tc>
          <w:tcPr>
            <w:tcW w:w="2086" w:type="dxa"/>
            <w:gridSpan w:val="2"/>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修复渠系耗材及租赁抽水设施质量合格率</w:t>
            </w:r>
          </w:p>
        </w:tc>
        <w:tc>
          <w:tcPr>
            <w:tcW w:w="1145"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951"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100%</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999" w:type="dxa"/>
            <w:tcBorders>
              <w:left w:val="single" w:color="auto" w:sz="4" w:space="0"/>
              <w:bottom w:val="single" w:color="auto" w:sz="4" w:space="0"/>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数量指标</w:t>
            </w:r>
          </w:p>
        </w:tc>
        <w:tc>
          <w:tcPr>
            <w:tcW w:w="2086" w:type="dxa"/>
            <w:gridSpan w:val="2"/>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保障临时饮水困难人员</w:t>
            </w:r>
          </w:p>
        </w:tc>
        <w:tc>
          <w:tcPr>
            <w:tcW w:w="1145"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≥100人</w:t>
            </w:r>
          </w:p>
        </w:tc>
        <w:tc>
          <w:tcPr>
            <w:tcW w:w="951" w:type="dxa"/>
            <w:vAlign w:val="center"/>
          </w:tcPr>
          <w:p>
            <w:pPr>
              <w:spacing w:before="67" w:line="209" w:lineRule="auto"/>
              <w:ind w:firstLine="210" w:firstLineChars="100"/>
              <w:rPr>
                <w:rFonts w:ascii="仿宋_GB2312" w:hAnsi="仿宋_GB2312" w:eastAsia="仿宋_GB2312" w:cs="仿宋_GB2312"/>
                <w:szCs w:val="21"/>
              </w:rPr>
            </w:pPr>
            <w:r>
              <w:rPr>
                <w:rFonts w:hint="eastAsia" w:ascii="仿宋_GB2312" w:hAnsi="仿宋_GB2312" w:eastAsia="仿宋_GB2312" w:cs="仿宋_GB2312"/>
                <w:szCs w:val="21"/>
              </w:rPr>
              <w:t>300人</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restart"/>
            <w:tcBorders>
              <w:top w:val="single" w:color="auto" w:sz="4" w:space="0"/>
              <w:left w:val="single" w:color="auto" w:sz="4" w:space="0"/>
              <w:right w:val="single" w:color="auto" w:sz="4" w:space="0"/>
            </w:tcBorders>
            <w:vAlign w:val="center"/>
          </w:tcPr>
          <w:p>
            <w:pPr>
              <w:jc w:val="center"/>
              <w:rPr>
                <w:rFonts w:ascii="仿宋_GB2312" w:hAnsi="仿宋_GB2312" w:eastAsia="仿宋_GB2312" w:cs="仿宋_GB2312"/>
                <w:szCs w:val="21"/>
              </w:rPr>
            </w:pPr>
            <w:r>
              <w:rPr>
                <w:rFonts w:hint="eastAsia" w:ascii="仿宋_GB2312" w:hAnsi="仿宋_GB2312" w:eastAsia="仿宋_GB2312" w:cs="仿宋_GB2312"/>
                <w:spacing w:val="-2"/>
                <w:szCs w:val="21"/>
              </w:rPr>
              <w:t>效益指标</w:t>
            </w:r>
          </w:p>
        </w:tc>
        <w:tc>
          <w:tcPr>
            <w:tcW w:w="999" w:type="dxa"/>
            <w:tcBorders>
              <w:top w:val="single" w:color="auto" w:sz="4" w:space="0"/>
              <w:left w:val="single" w:color="auto" w:sz="4" w:space="0"/>
              <w:bottom w:val="single" w:color="auto" w:sz="4" w:space="0"/>
              <w:right w:val="single" w:color="auto" w:sz="4" w:space="0"/>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可持续影响指标</w:t>
            </w:r>
          </w:p>
        </w:tc>
        <w:tc>
          <w:tcPr>
            <w:tcW w:w="2086" w:type="dxa"/>
            <w:gridSpan w:val="2"/>
            <w:tcBorders>
              <w:left w:val="single" w:color="auto" w:sz="4" w:space="0"/>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确保受灾群众生活生产秩序正常，增强群众抗旱意识和自救能力</w:t>
            </w:r>
          </w:p>
        </w:tc>
        <w:tc>
          <w:tcPr>
            <w:tcW w:w="1145"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定性</w:t>
            </w:r>
          </w:p>
        </w:tc>
        <w:tc>
          <w:tcPr>
            <w:tcW w:w="951"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有效</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vMerge w:val="continue"/>
            <w:tcBorders>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社会效益指标</w:t>
            </w:r>
          </w:p>
        </w:tc>
        <w:tc>
          <w:tcPr>
            <w:tcW w:w="2086" w:type="dxa"/>
            <w:gridSpan w:val="2"/>
            <w:tcBorders>
              <w:left w:val="single" w:color="auto" w:sz="4" w:space="0"/>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受灾群众人饮及生活困难解决率</w:t>
            </w:r>
          </w:p>
        </w:tc>
        <w:tc>
          <w:tcPr>
            <w:tcW w:w="1145"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≥95%</w:t>
            </w:r>
          </w:p>
        </w:tc>
        <w:tc>
          <w:tcPr>
            <w:tcW w:w="951"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99%</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97" w:type="dxa"/>
            <w:vMerge w:val="continue"/>
            <w:vAlign w:val="center"/>
          </w:tcPr>
          <w:p>
            <w:pPr>
              <w:jc w:val="center"/>
              <w:rPr>
                <w:rFonts w:ascii="仿宋_GB2312" w:hAnsi="仿宋_GB2312" w:eastAsia="仿宋_GB2312" w:cs="仿宋_GB2312"/>
                <w:szCs w:val="21"/>
              </w:rPr>
            </w:pPr>
          </w:p>
        </w:tc>
        <w:tc>
          <w:tcPr>
            <w:tcW w:w="752" w:type="dxa"/>
            <w:tcBorders>
              <w:top w:val="single" w:color="auto" w:sz="4" w:space="0"/>
              <w:bottom w:val="nil"/>
            </w:tcBorders>
            <w:vAlign w:val="center"/>
          </w:tcPr>
          <w:p>
            <w:pPr>
              <w:spacing w:before="146" w:line="219" w:lineRule="auto"/>
              <w:ind w:left="191" w:right="124" w:hanging="70"/>
              <w:jc w:val="center"/>
              <w:rPr>
                <w:rFonts w:ascii="仿宋_GB2312" w:hAnsi="仿宋_GB2312" w:eastAsia="仿宋_GB2312" w:cs="仿宋_GB2312"/>
                <w:szCs w:val="21"/>
              </w:rPr>
            </w:pPr>
            <w:r>
              <w:rPr>
                <w:rFonts w:hint="eastAsia" w:ascii="仿宋_GB2312" w:hAnsi="仿宋_GB2312" w:eastAsia="仿宋_GB2312" w:cs="仿宋_GB2312"/>
                <w:spacing w:val="-3"/>
                <w:szCs w:val="21"/>
              </w:rPr>
              <w:t>满意度</w:t>
            </w:r>
            <w:r>
              <w:rPr>
                <w:rFonts w:hint="eastAsia" w:ascii="仿宋_GB2312" w:hAnsi="仿宋_GB2312" w:eastAsia="仿宋_GB2312" w:cs="仿宋_GB2312"/>
                <w:spacing w:val="1"/>
                <w:szCs w:val="21"/>
              </w:rPr>
              <w:t xml:space="preserve"> </w:t>
            </w:r>
            <w:r>
              <w:rPr>
                <w:rFonts w:hint="eastAsia" w:ascii="仿宋_GB2312" w:hAnsi="仿宋_GB2312" w:eastAsia="仿宋_GB2312" w:cs="仿宋_GB2312"/>
                <w:spacing w:val="-3"/>
                <w:szCs w:val="21"/>
              </w:rPr>
              <w:t>指标</w:t>
            </w:r>
          </w:p>
        </w:tc>
        <w:tc>
          <w:tcPr>
            <w:tcW w:w="999" w:type="dxa"/>
            <w:tcBorders>
              <w:top w:val="single" w:color="auto" w:sz="4" w:space="0"/>
              <w:bottom w:val="nil"/>
            </w:tcBorders>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帮扶对象满意度指标</w:t>
            </w:r>
          </w:p>
        </w:tc>
        <w:tc>
          <w:tcPr>
            <w:tcW w:w="2086" w:type="dxa"/>
            <w:gridSpan w:val="2"/>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受灾群众对解决生活饮水、抗旱满意度</w:t>
            </w:r>
          </w:p>
        </w:tc>
        <w:tc>
          <w:tcPr>
            <w:tcW w:w="1145"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≥98%</w:t>
            </w:r>
          </w:p>
        </w:tc>
        <w:tc>
          <w:tcPr>
            <w:tcW w:w="951" w:type="dxa"/>
            <w:vAlign w:val="center"/>
          </w:tcPr>
          <w:p>
            <w:pPr>
              <w:spacing w:before="67" w:line="209" w:lineRule="auto"/>
              <w:ind w:left="23"/>
              <w:jc w:val="center"/>
              <w:rPr>
                <w:rFonts w:ascii="仿宋_GB2312" w:hAnsi="仿宋_GB2312" w:eastAsia="仿宋_GB2312" w:cs="仿宋_GB2312"/>
                <w:szCs w:val="21"/>
              </w:rPr>
            </w:pPr>
            <w:r>
              <w:rPr>
                <w:rFonts w:hint="eastAsia" w:ascii="仿宋_GB2312" w:hAnsi="仿宋_GB2312" w:eastAsia="仿宋_GB2312" w:cs="仿宋_GB2312"/>
                <w:szCs w:val="21"/>
              </w:rPr>
              <w:t>99%</w:t>
            </w:r>
          </w:p>
        </w:tc>
        <w:tc>
          <w:tcPr>
            <w:tcW w:w="2469" w:type="dxa"/>
          </w:tcPr>
          <w:p>
            <w:pPr>
              <w:jc w:val="center"/>
              <w:rPr>
                <w:rFonts w:ascii="仿宋_GB2312" w:hAnsi="仿宋_GB2312" w:eastAsia="仿宋_GB2312" w:cs="仿宋_GB231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6630" w:type="dxa"/>
            <w:gridSpan w:val="7"/>
            <w:vAlign w:val="center"/>
          </w:tcPr>
          <w:p>
            <w:pPr>
              <w:spacing w:before="48" w:line="220" w:lineRule="auto"/>
              <w:ind w:left="3664"/>
              <w:jc w:val="center"/>
              <w:rPr>
                <w:rFonts w:ascii="仿宋_GB2312" w:hAnsi="仿宋_GB2312" w:eastAsia="仿宋_GB2312" w:cs="仿宋_GB2312"/>
                <w:szCs w:val="21"/>
              </w:rPr>
            </w:pPr>
            <w:r>
              <w:rPr>
                <w:rFonts w:hint="eastAsia" w:ascii="仿宋_GB2312" w:hAnsi="仿宋_GB2312" w:eastAsia="仿宋_GB2312" w:cs="仿宋_GB2312"/>
                <w:spacing w:val="-3"/>
                <w:szCs w:val="21"/>
              </w:rPr>
              <w:t>总分</w:t>
            </w:r>
          </w:p>
        </w:tc>
        <w:tc>
          <w:tcPr>
            <w:tcW w:w="2469"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98.5</w:t>
            </w:r>
          </w:p>
        </w:tc>
      </w:tr>
    </w:tbl>
    <w:p>
      <w:pPr>
        <w:autoSpaceDE w:val="0"/>
        <w:spacing w:line="600" w:lineRule="exact"/>
        <w:outlineLvl w:val="0"/>
        <w:rPr>
          <w:rFonts w:ascii="黑体" w:hAnsi="宋体" w:eastAsia="黑体" w:cs="黑体"/>
          <w:color w:val="000000"/>
          <w:sz w:val="44"/>
          <w:szCs w:val="44"/>
        </w:rPr>
        <w:sectPr>
          <w:footerReference r:id="rId8" w:type="default"/>
          <w:pgSz w:w="11906" w:h="16838"/>
          <w:pgMar w:top="1440" w:right="1973" w:bottom="1497" w:left="1800" w:header="851" w:footer="992" w:gutter="0"/>
          <w:cols w:space="425" w:num="1"/>
          <w:docGrid w:type="lines" w:linePitch="312" w:charSpace="0"/>
        </w:sectPr>
      </w:pPr>
    </w:p>
    <w:p>
      <w:pPr>
        <w:autoSpaceDE w:val="0"/>
        <w:spacing w:line="600" w:lineRule="exact"/>
        <w:ind w:firstLine="2640" w:firstLineChars="600"/>
        <w:outlineLvl w:val="0"/>
        <w:rPr>
          <w:rFonts w:ascii="黑体" w:hAnsi="宋体" w:eastAsia="黑体" w:cs="Times New Roman"/>
          <w:bCs/>
          <w:kern w:val="44"/>
          <w:sz w:val="44"/>
          <w:szCs w:val="44"/>
        </w:rPr>
      </w:pPr>
      <w:r>
        <w:rPr>
          <w:rFonts w:hint="eastAsia" w:ascii="黑体" w:hAnsi="宋体" w:eastAsia="黑体" w:cs="黑体"/>
          <w:color w:val="000000"/>
          <w:sz w:val="44"/>
          <w:szCs w:val="44"/>
        </w:rPr>
        <w:t>第</w:t>
      </w:r>
      <w:r>
        <w:rPr>
          <w:rStyle w:val="24"/>
          <w:rFonts w:hint="eastAsia" w:ascii="黑体" w:hAnsi="宋体" w:eastAsia="黑体" w:cs="黑体"/>
          <w:b w:val="0"/>
        </w:rPr>
        <w:t>五部分</w:t>
      </w:r>
      <w:r>
        <w:rPr>
          <w:rStyle w:val="24"/>
          <w:rFonts w:hint="eastAsia" w:ascii="黑体" w:hAnsi="宋体" w:eastAsia="黑体"/>
          <w:b w:val="0"/>
        </w:rPr>
        <w:t xml:space="preserve"> </w:t>
      </w:r>
      <w:r>
        <w:rPr>
          <w:rStyle w:val="24"/>
          <w:rFonts w:hint="eastAsia" w:ascii="黑体" w:hAnsi="宋体" w:eastAsia="黑体" w:cs="黑体"/>
          <w:b w:val="0"/>
        </w:rPr>
        <w:t>附表</w:t>
      </w:r>
    </w:p>
    <w:p>
      <w:pPr>
        <w:autoSpaceDE w:val="0"/>
        <w:spacing w:line="600" w:lineRule="exact"/>
        <w:jc w:val="left"/>
        <w:outlineLvl w:val="0"/>
        <w:rPr>
          <w:rFonts w:ascii="仿宋" w:hAnsi="仿宋" w:eastAsia="仿宋" w:cs="Times New Roman"/>
          <w:b/>
          <w:color w:val="000000"/>
          <w:sz w:val="44"/>
          <w:szCs w:val="44"/>
        </w:rPr>
      </w:pPr>
      <w:r>
        <w:rPr>
          <w:rFonts w:hint="eastAsia" w:ascii="仿宋" w:hAnsi="仿宋" w:eastAsia="仿宋" w:cs="Times New Roman"/>
          <w:b/>
          <w:color w:val="000000"/>
          <w:sz w:val="44"/>
          <w:szCs w:val="44"/>
        </w:rPr>
        <w:tab/>
      </w:r>
    </w:p>
    <w:p>
      <w:pPr>
        <w:pStyle w:val="5"/>
        <w:ind w:firstLine="640" w:firstLineChars="200"/>
        <w:rPr>
          <w:rFonts w:ascii="仿宋" w:hAnsi="仿宋" w:eastAsia="仿宋"/>
        </w:rPr>
      </w:pPr>
      <w:bookmarkStart w:id="33" w:name="_Toc15396619"/>
      <w:r>
        <w:rPr>
          <w:rFonts w:hint="eastAsia" w:ascii="仿宋" w:hAnsi="仿宋" w:eastAsia="仿宋"/>
          <w:b w:val="0"/>
        </w:rPr>
        <w:t>一、收</w:t>
      </w:r>
      <w:r>
        <w:rPr>
          <w:rStyle w:val="32"/>
          <w:rFonts w:hint="eastAsia" w:ascii="仿宋" w:hAnsi="仿宋" w:eastAsia="仿宋"/>
          <w:b w:val="0"/>
          <w:bCs w:val="0"/>
        </w:rPr>
        <w:t>入支出决算总表</w:t>
      </w:r>
      <w:bookmarkEnd w:id="33"/>
    </w:p>
    <w:p>
      <w:pPr>
        <w:pStyle w:val="5"/>
        <w:ind w:firstLine="640" w:firstLineChars="200"/>
        <w:rPr>
          <w:rFonts w:ascii="仿宋" w:hAnsi="仿宋" w:eastAsia="仿宋"/>
        </w:rPr>
      </w:pPr>
      <w:bookmarkStart w:id="34" w:name="_Toc15396620"/>
      <w:r>
        <w:rPr>
          <w:rFonts w:hint="eastAsia" w:ascii="仿宋" w:hAnsi="仿宋" w:eastAsia="仿宋"/>
          <w:b w:val="0"/>
        </w:rPr>
        <w:t>二、收</w:t>
      </w:r>
      <w:r>
        <w:rPr>
          <w:rStyle w:val="32"/>
          <w:rFonts w:hint="eastAsia" w:ascii="仿宋" w:hAnsi="仿宋" w:eastAsia="仿宋"/>
          <w:b w:val="0"/>
          <w:bCs w:val="0"/>
        </w:rPr>
        <w:t>入决算表</w:t>
      </w:r>
      <w:bookmarkEnd w:id="34"/>
    </w:p>
    <w:p>
      <w:pPr>
        <w:pStyle w:val="5"/>
        <w:ind w:firstLine="640" w:firstLineChars="200"/>
        <w:rPr>
          <w:rFonts w:ascii="仿宋" w:hAnsi="仿宋" w:eastAsia="仿宋"/>
        </w:rPr>
      </w:pPr>
      <w:bookmarkStart w:id="35" w:name="_Toc15396621"/>
      <w:r>
        <w:rPr>
          <w:rStyle w:val="32"/>
          <w:rFonts w:hint="eastAsia" w:ascii="仿宋" w:hAnsi="仿宋" w:eastAsia="仿宋"/>
          <w:b w:val="0"/>
          <w:bCs w:val="0"/>
        </w:rPr>
        <w:t>三、</w:t>
      </w:r>
      <w:r>
        <w:rPr>
          <w:rFonts w:hint="eastAsia" w:ascii="仿宋" w:hAnsi="仿宋" w:eastAsia="仿宋"/>
          <w:b w:val="0"/>
        </w:rPr>
        <w:t>支</w:t>
      </w:r>
      <w:r>
        <w:rPr>
          <w:rStyle w:val="32"/>
          <w:rFonts w:hint="eastAsia" w:ascii="仿宋" w:hAnsi="仿宋" w:eastAsia="仿宋"/>
          <w:b w:val="0"/>
          <w:bCs w:val="0"/>
        </w:rPr>
        <w:t>出决算表</w:t>
      </w:r>
      <w:bookmarkEnd w:id="35"/>
    </w:p>
    <w:p>
      <w:pPr>
        <w:pStyle w:val="5"/>
        <w:ind w:firstLine="640" w:firstLineChars="200"/>
        <w:rPr>
          <w:rFonts w:ascii="仿宋" w:hAnsi="仿宋" w:eastAsia="仿宋"/>
          <w:b w:val="0"/>
        </w:rPr>
      </w:pPr>
      <w:bookmarkStart w:id="36" w:name="_Toc15396622"/>
      <w:r>
        <w:rPr>
          <w:rStyle w:val="32"/>
          <w:rFonts w:hint="eastAsia" w:ascii="仿宋" w:hAnsi="仿宋" w:eastAsia="仿宋"/>
          <w:b w:val="0"/>
          <w:bCs w:val="0"/>
        </w:rPr>
        <w:t>四、</w:t>
      </w:r>
      <w:r>
        <w:rPr>
          <w:rFonts w:hint="eastAsia" w:ascii="仿宋" w:hAnsi="仿宋" w:eastAsia="仿宋"/>
          <w:b w:val="0"/>
        </w:rPr>
        <w:t>财</w:t>
      </w:r>
      <w:r>
        <w:rPr>
          <w:rStyle w:val="32"/>
          <w:rFonts w:hint="eastAsia" w:ascii="仿宋" w:hAnsi="仿宋" w:eastAsia="仿宋"/>
          <w:b w:val="0"/>
          <w:bCs w:val="0"/>
        </w:rPr>
        <w:t>政拨款收入支出决算总表</w:t>
      </w:r>
      <w:bookmarkEnd w:id="36"/>
    </w:p>
    <w:p>
      <w:pPr>
        <w:pStyle w:val="5"/>
        <w:ind w:firstLine="640" w:firstLineChars="200"/>
        <w:rPr>
          <w:rStyle w:val="32"/>
          <w:rFonts w:ascii="仿宋" w:hAnsi="仿宋" w:eastAsia="仿宋"/>
          <w:b w:val="0"/>
          <w:bCs w:val="0"/>
        </w:rPr>
      </w:pPr>
      <w:bookmarkStart w:id="37" w:name="_Toc15396623"/>
      <w:r>
        <w:rPr>
          <w:rStyle w:val="32"/>
          <w:rFonts w:hint="eastAsia" w:ascii="仿宋" w:hAnsi="仿宋" w:eastAsia="仿宋"/>
          <w:b w:val="0"/>
          <w:bCs w:val="0"/>
        </w:rPr>
        <w:t>五、</w:t>
      </w:r>
      <w:r>
        <w:rPr>
          <w:rFonts w:hint="eastAsia" w:ascii="仿宋" w:hAnsi="仿宋" w:eastAsia="仿宋"/>
          <w:b w:val="0"/>
        </w:rPr>
        <w:t>财</w:t>
      </w:r>
      <w:r>
        <w:rPr>
          <w:rStyle w:val="32"/>
          <w:rFonts w:hint="eastAsia" w:ascii="仿宋" w:hAnsi="仿宋" w:eastAsia="仿宋"/>
          <w:b w:val="0"/>
          <w:bCs w:val="0"/>
        </w:rPr>
        <w:t>政拨款支出决算明细表</w:t>
      </w:r>
      <w:bookmarkEnd w:id="37"/>
      <w:bookmarkStart w:id="38" w:name="_Toc15396624"/>
    </w:p>
    <w:p>
      <w:pPr>
        <w:pStyle w:val="5"/>
        <w:ind w:firstLine="640" w:firstLineChars="200"/>
        <w:rPr>
          <w:rFonts w:ascii="仿宋" w:hAnsi="仿宋" w:eastAsia="仿宋"/>
        </w:rPr>
      </w:pPr>
      <w:r>
        <w:rPr>
          <w:rStyle w:val="32"/>
          <w:rFonts w:hint="eastAsia" w:ascii="仿宋" w:hAnsi="仿宋" w:eastAsia="仿宋"/>
          <w:b w:val="0"/>
          <w:bCs w:val="0"/>
        </w:rPr>
        <w:t>六、</w:t>
      </w:r>
      <w:r>
        <w:rPr>
          <w:rFonts w:hint="eastAsia" w:ascii="仿宋" w:hAnsi="仿宋" w:eastAsia="仿宋"/>
          <w:b w:val="0"/>
        </w:rPr>
        <w:t>一</w:t>
      </w:r>
      <w:r>
        <w:rPr>
          <w:rStyle w:val="32"/>
          <w:rFonts w:hint="eastAsia" w:ascii="仿宋" w:hAnsi="仿宋" w:eastAsia="仿宋"/>
          <w:b w:val="0"/>
          <w:bCs w:val="0"/>
        </w:rPr>
        <w:t>般公共预算财政拨款支出决算表</w:t>
      </w:r>
      <w:bookmarkEnd w:id="38"/>
    </w:p>
    <w:p>
      <w:pPr>
        <w:pStyle w:val="5"/>
        <w:ind w:firstLine="640" w:firstLineChars="200"/>
        <w:rPr>
          <w:rFonts w:ascii="仿宋" w:hAnsi="仿宋" w:eastAsia="仿宋"/>
        </w:rPr>
      </w:pPr>
      <w:bookmarkStart w:id="39" w:name="_Toc15396625"/>
      <w:r>
        <w:rPr>
          <w:rStyle w:val="32"/>
          <w:rFonts w:hint="eastAsia" w:ascii="仿宋" w:hAnsi="仿宋" w:eastAsia="仿宋"/>
          <w:b w:val="0"/>
          <w:bCs w:val="0"/>
        </w:rPr>
        <w:t>七、</w:t>
      </w:r>
      <w:r>
        <w:rPr>
          <w:rFonts w:hint="eastAsia" w:ascii="仿宋" w:hAnsi="仿宋" w:eastAsia="仿宋"/>
          <w:b w:val="0"/>
        </w:rPr>
        <w:t>一</w:t>
      </w:r>
      <w:r>
        <w:rPr>
          <w:rStyle w:val="32"/>
          <w:rFonts w:hint="eastAsia" w:ascii="仿宋" w:hAnsi="仿宋" w:eastAsia="仿宋"/>
          <w:b w:val="0"/>
          <w:bCs w:val="0"/>
        </w:rPr>
        <w:t>般公共预算财政拨款支出决算明细表</w:t>
      </w:r>
      <w:bookmarkEnd w:id="39"/>
    </w:p>
    <w:p>
      <w:pPr>
        <w:pStyle w:val="5"/>
        <w:ind w:firstLine="640" w:firstLineChars="200"/>
        <w:rPr>
          <w:rFonts w:ascii="仿宋" w:hAnsi="仿宋" w:eastAsia="仿宋"/>
        </w:rPr>
      </w:pPr>
      <w:bookmarkStart w:id="40" w:name="_Toc15396626"/>
      <w:r>
        <w:rPr>
          <w:rStyle w:val="32"/>
          <w:rFonts w:hint="eastAsia" w:ascii="仿宋" w:hAnsi="仿宋" w:eastAsia="仿宋"/>
          <w:b w:val="0"/>
          <w:bCs w:val="0"/>
        </w:rPr>
        <w:t>八、</w:t>
      </w:r>
      <w:r>
        <w:rPr>
          <w:rFonts w:hint="eastAsia" w:ascii="仿宋" w:hAnsi="仿宋" w:eastAsia="仿宋"/>
          <w:b w:val="0"/>
        </w:rPr>
        <w:t>一</w:t>
      </w:r>
      <w:r>
        <w:rPr>
          <w:rStyle w:val="32"/>
          <w:rFonts w:hint="eastAsia" w:ascii="仿宋" w:hAnsi="仿宋" w:eastAsia="仿宋"/>
          <w:b w:val="0"/>
          <w:bCs w:val="0"/>
        </w:rPr>
        <w:t>般公共预算财政拨款基本支出决算表</w:t>
      </w:r>
      <w:bookmarkEnd w:id="40"/>
    </w:p>
    <w:p>
      <w:pPr>
        <w:pStyle w:val="5"/>
        <w:ind w:firstLine="640" w:firstLineChars="200"/>
        <w:rPr>
          <w:rFonts w:ascii="仿宋" w:hAnsi="仿宋" w:eastAsia="仿宋"/>
        </w:rPr>
      </w:pPr>
      <w:bookmarkStart w:id="41" w:name="_Toc15396627"/>
      <w:r>
        <w:rPr>
          <w:rStyle w:val="32"/>
          <w:rFonts w:hint="eastAsia" w:ascii="仿宋" w:hAnsi="仿宋" w:eastAsia="仿宋"/>
          <w:b w:val="0"/>
          <w:bCs w:val="0"/>
        </w:rPr>
        <w:t>九、</w:t>
      </w:r>
      <w:r>
        <w:rPr>
          <w:rFonts w:hint="eastAsia" w:ascii="仿宋" w:hAnsi="仿宋" w:eastAsia="仿宋"/>
          <w:b w:val="0"/>
        </w:rPr>
        <w:t>一</w:t>
      </w:r>
      <w:r>
        <w:rPr>
          <w:rStyle w:val="32"/>
          <w:rFonts w:hint="eastAsia" w:ascii="仿宋" w:hAnsi="仿宋" w:eastAsia="仿宋"/>
          <w:b w:val="0"/>
          <w:bCs w:val="0"/>
        </w:rPr>
        <w:t>般公共预算财政拨款项目支出决算表</w:t>
      </w:r>
      <w:bookmarkEnd w:id="41"/>
    </w:p>
    <w:p>
      <w:pPr>
        <w:pStyle w:val="5"/>
        <w:ind w:firstLine="640" w:firstLineChars="200"/>
        <w:rPr>
          <w:rFonts w:ascii="仿宋" w:hAnsi="仿宋" w:eastAsia="仿宋"/>
        </w:rPr>
      </w:pPr>
      <w:bookmarkStart w:id="42" w:name="_Toc15396628"/>
      <w:r>
        <w:rPr>
          <w:rStyle w:val="32"/>
          <w:rFonts w:hint="eastAsia" w:ascii="仿宋" w:hAnsi="仿宋" w:eastAsia="仿宋"/>
          <w:b w:val="0"/>
          <w:bCs w:val="0"/>
        </w:rPr>
        <w:t>十、</w:t>
      </w:r>
      <w:bookmarkEnd w:id="42"/>
      <w:r>
        <w:rPr>
          <w:rFonts w:hint="eastAsia" w:ascii="仿宋" w:hAnsi="仿宋" w:eastAsia="仿宋"/>
          <w:b w:val="0"/>
        </w:rPr>
        <w:t>政</w:t>
      </w:r>
      <w:r>
        <w:rPr>
          <w:rStyle w:val="32"/>
          <w:rFonts w:hint="eastAsia" w:ascii="仿宋" w:hAnsi="仿宋" w:eastAsia="仿宋"/>
          <w:b w:val="0"/>
          <w:bCs w:val="0"/>
        </w:rPr>
        <w:t>府性基金预算财政拨款收入支出决算表</w:t>
      </w:r>
    </w:p>
    <w:p>
      <w:pPr>
        <w:pStyle w:val="5"/>
        <w:ind w:firstLine="640" w:firstLineChars="200"/>
        <w:rPr>
          <w:rFonts w:ascii="仿宋" w:hAnsi="仿宋" w:eastAsia="仿宋"/>
        </w:rPr>
      </w:pPr>
      <w:bookmarkStart w:id="43" w:name="_Toc15396629"/>
      <w:r>
        <w:rPr>
          <w:rStyle w:val="32"/>
          <w:rFonts w:hint="eastAsia" w:ascii="仿宋" w:hAnsi="仿宋" w:eastAsia="仿宋"/>
          <w:b w:val="0"/>
          <w:bCs w:val="0"/>
        </w:rPr>
        <w:t>十一、</w:t>
      </w:r>
      <w:bookmarkEnd w:id="43"/>
      <w:r>
        <w:rPr>
          <w:rFonts w:hint="eastAsia" w:ascii="仿宋" w:hAnsi="仿宋" w:eastAsia="仿宋"/>
          <w:b w:val="0"/>
        </w:rPr>
        <w:t>国</w:t>
      </w:r>
      <w:r>
        <w:rPr>
          <w:rStyle w:val="32"/>
          <w:rFonts w:hint="eastAsia" w:ascii="仿宋" w:hAnsi="仿宋" w:eastAsia="仿宋"/>
          <w:b w:val="0"/>
          <w:bCs w:val="0"/>
        </w:rPr>
        <w:t>有资本经营预算财政拨款收入支出决算表</w:t>
      </w:r>
    </w:p>
    <w:p>
      <w:pPr>
        <w:pStyle w:val="5"/>
        <w:ind w:firstLine="640" w:firstLineChars="200"/>
        <w:rPr>
          <w:rFonts w:ascii="仿宋" w:hAnsi="仿宋" w:eastAsia="仿宋"/>
        </w:rPr>
      </w:pPr>
      <w:bookmarkStart w:id="44" w:name="_Toc15396630"/>
      <w:r>
        <w:rPr>
          <w:rStyle w:val="32"/>
          <w:rFonts w:hint="eastAsia" w:ascii="仿宋" w:hAnsi="仿宋" w:eastAsia="仿宋"/>
          <w:b w:val="0"/>
          <w:bCs w:val="0"/>
        </w:rPr>
        <w:t>十二、</w:t>
      </w:r>
      <w:bookmarkEnd w:id="44"/>
      <w:r>
        <w:rPr>
          <w:rStyle w:val="32"/>
          <w:rFonts w:hint="eastAsia" w:ascii="仿宋" w:hAnsi="仿宋" w:eastAsia="仿宋"/>
          <w:b w:val="0"/>
          <w:bCs w:val="0"/>
        </w:rPr>
        <w:t>国有资本经营预算财政拨款支出决算表</w:t>
      </w:r>
    </w:p>
    <w:p>
      <w:pPr>
        <w:pStyle w:val="5"/>
        <w:ind w:firstLine="640" w:firstLineChars="200"/>
        <w:rPr>
          <w:rFonts w:eastAsia="仿宋"/>
        </w:rPr>
      </w:pPr>
      <w:bookmarkStart w:id="45" w:name="_Toc15396631"/>
      <w:r>
        <w:rPr>
          <w:rStyle w:val="32"/>
          <w:rFonts w:hint="eastAsia" w:ascii="仿宋" w:hAnsi="仿宋" w:eastAsia="仿宋"/>
          <w:b w:val="0"/>
          <w:bCs w:val="0"/>
        </w:rPr>
        <w:t>十三、</w:t>
      </w:r>
      <w:bookmarkEnd w:id="45"/>
      <w:r>
        <w:rPr>
          <w:rStyle w:val="32"/>
          <w:rFonts w:hint="eastAsia" w:ascii="仿宋" w:hAnsi="仿宋" w:eastAsia="仿宋"/>
          <w:b w:val="0"/>
          <w:bCs w:val="0"/>
        </w:rPr>
        <w:t>财政拨款“三公”经费支出决算表</w:t>
      </w:r>
    </w:p>
    <w:sectPr>
      <w:footerReference r:id="rId9" w:type="default"/>
      <w:pgSz w:w="11906" w:h="16838"/>
      <w:pgMar w:top="1440" w:right="1973" w:bottom="149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6950"/>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6950"/>
        <w:tab w:val="clear" w:pos="4153"/>
      </w:tabs>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6950"/>
        <w:tab w:val="clear" w:pos="4153"/>
      </w:tabs>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69GPs5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69GPs5AgAAcQQAAA4AAAAAAAAAAQAgAAAAHwEAAGRycy9lMm9Eb2Mu&#10;eG1sUEsFBgAAAAAGAAYAWQEAAMo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6950"/>
        <w:tab w:val="clear" w:pos="4153"/>
      </w:tabs>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1rxzQ4AgAAc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3WvHNDgCAABxBAAADgAAAAAAAAABACAAAAAfAQAAZHJzL2Uyb0RvYy54&#10;bWxQSwUGAAAAAAYABgBZAQAAy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6950"/>
        <w:tab w:val="clear" w:pos="4153"/>
      </w:tabs>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zZjXE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zZjXE5AgAAcQQAAA4AAAAAAAAAAQAgAAAAHwEAAGRycy9lMm9Eb2Mu&#10;eG1sUEsFBgAAAAAGAAYAWQEAAMo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175E84"/>
    <w:multiLevelType w:val="singleLevel"/>
    <w:tmpl w:val="13175E84"/>
    <w:lvl w:ilvl="0" w:tentative="0">
      <w:start w:val="1"/>
      <w:numFmt w:val="decimal"/>
      <w:lvlText w:val="%1."/>
      <w:lvlJc w:val="left"/>
      <w:pPr>
        <w:tabs>
          <w:tab w:val="left" w:pos="312"/>
        </w:tabs>
      </w:pPr>
    </w:lvl>
  </w:abstractNum>
  <w:abstractNum w:abstractNumId="1">
    <w:nsid w:val="4D031FD7"/>
    <w:multiLevelType w:val="multilevel"/>
    <w:tmpl w:val="4D031FD7"/>
    <w:lvl w:ilvl="0" w:tentative="0">
      <w:start w:val="1"/>
      <w:numFmt w:val="japaneseCounting"/>
      <w:lvlText w:val="%1、"/>
      <w:lvlJc w:val="left"/>
      <w:pPr>
        <w:ind w:left="1360" w:hanging="720"/>
      </w:pPr>
      <w:rPr>
        <w:rFonts w:hint="default" w:ascii="Times New Roman" w:hAnsi="Times New Roman" w:cs="Times New Roman"/>
        <w:b w:val="0"/>
      </w:rPr>
    </w:lvl>
    <w:lvl w:ilvl="1" w:tentative="0">
      <w:start w:val="1"/>
      <w:numFmt w:val="lowerLetter"/>
      <w:lvlText w:val="%2)"/>
      <w:lvlJc w:val="left"/>
      <w:pPr>
        <w:ind w:left="1480" w:hanging="420"/>
      </w:pPr>
      <w:rPr>
        <w:rFonts w:hint="default" w:ascii="Times New Roman" w:hAnsi="Times New Roman" w:cs="Times New Roman"/>
      </w:rPr>
    </w:lvl>
    <w:lvl w:ilvl="2" w:tentative="0">
      <w:start w:val="1"/>
      <w:numFmt w:val="lowerRoman"/>
      <w:lvlText w:val="%3."/>
      <w:lvlJc w:val="right"/>
      <w:pPr>
        <w:ind w:left="1900" w:hanging="420"/>
      </w:pPr>
      <w:rPr>
        <w:rFonts w:hint="default" w:ascii="Times New Roman" w:hAnsi="Times New Roman" w:cs="Times New Roman"/>
      </w:rPr>
    </w:lvl>
    <w:lvl w:ilvl="3" w:tentative="0">
      <w:start w:val="1"/>
      <w:numFmt w:val="decimal"/>
      <w:lvlText w:val="%4."/>
      <w:lvlJc w:val="left"/>
      <w:pPr>
        <w:ind w:left="2320" w:hanging="420"/>
      </w:pPr>
      <w:rPr>
        <w:rFonts w:hint="default" w:ascii="Times New Roman" w:hAnsi="Times New Roman" w:cs="Times New Roman"/>
      </w:rPr>
    </w:lvl>
    <w:lvl w:ilvl="4" w:tentative="0">
      <w:start w:val="1"/>
      <w:numFmt w:val="lowerLetter"/>
      <w:lvlText w:val="%5)"/>
      <w:lvlJc w:val="left"/>
      <w:pPr>
        <w:ind w:left="2740" w:hanging="420"/>
      </w:pPr>
      <w:rPr>
        <w:rFonts w:hint="default" w:ascii="Times New Roman" w:hAnsi="Times New Roman" w:cs="Times New Roman"/>
      </w:rPr>
    </w:lvl>
    <w:lvl w:ilvl="5" w:tentative="0">
      <w:start w:val="1"/>
      <w:numFmt w:val="lowerRoman"/>
      <w:lvlText w:val="%6."/>
      <w:lvlJc w:val="right"/>
      <w:pPr>
        <w:ind w:left="3160" w:hanging="420"/>
      </w:pPr>
      <w:rPr>
        <w:rFonts w:hint="default" w:ascii="Times New Roman" w:hAnsi="Times New Roman" w:cs="Times New Roman"/>
      </w:rPr>
    </w:lvl>
    <w:lvl w:ilvl="6" w:tentative="0">
      <w:start w:val="1"/>
      <w:numFmt w:val="decimal"/>
      <w:lvlText w:val="%7."/>
      <w:lvlJc w:val="left"/>
      <w:pPr>
        <w:ind w:left="3580" w:hanging="420"/>
      </w:pPr>
      <w:rPr>
        <w:rFonts w:hint="default" w:ascii="Times New Roman" w:hAnsi="Times New Roman" w:cs="Times New Roman"/>
      </w:rPr>
    </w:lvl>
    <w:lvl w:ilvl="7" w:tentative="0">
      <w:start w:val="1"/>
      <w:numFmt w:val="lowerLetter"/>
      <w:lvlText w:val="%8)"/>
      <w:lvlJc w:val="left"/>
      <w:pPr>
        <w:ind w:left="4000" w:hanging="420"/>
      </w:pPr>
      <w:rPr>
        <w:rFonts w:hint="default" w:ascii="Times New Roman" w:hAnsi="Times New Roman" w:cs="Times New Roman"/>
      </w:rPr>
    </w:lvl>
    <w:lvl w:ilvl="8" w:tentative="0">
      <w:start w:val="1"/>
      <w:numFmt w:val="lowerRoman"/>
      <w:lvlText w:val="%9."/>
      <w:lvlJc w:val="right"/>
      <w:pPr>
        <w:ind w:left="4420" w:hanging="420"/>
      </w:pPr>
      <w:rPr>
        <w:rFonts w:hint="default" w:ascii="Times New Roman" w:hAnsi="Times New Roman" w:cs="Times New Roman"/>
      </w:rPr>
    </w:lvl>
  </w:abstractNum>
  <w:abstractNum w:abstractNumId="2">
    <w:nsid w:val="5FD01134"/>
    <w:multiLevelType w:val="multilevel"/>
    <w:tmpl w:val="5FD01134"/>
    <w:lvl w:ilvl="0" w:tentative="0">
      <w:start w:val="9"/>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OTQyZjQ4NzZmMGE3MDEzZjNjNWVjYTlhNGE5NDgifQ=="/>
  </w:docVars>
  <w:rsids>
    <w:rsidRoot w:val="00100C5D"/>
    <w:rsid w:val="00100C5D"/>
    <w:rsid w:val="00141470"/>
    <w:rsid w:val="001E6C03"/>
    <w:rsid w:val="00312E79"/>
    <w:rsid w:val="00360F69"/>
    <w:rsid w:val="00685FC9"/>
    <w:rsid w:val="006A7C3A"/>
    <w:rsid w:val="006C72FE"/>
    <w:rsid w:val="00807684"/>
    <w:rsid w:val="009B2115"/>
    <w:rsid w:val="00A206EB"/>
    <w:rsid w:val="00A642BD"/>
    <w:rsid w:val="00A70D65"/>
    <w:rsid w:val="00B41280"/>
    <w:rsid w:val="00C66E1E"/>
    <w:rsid w:val="00CA4082"/>
    <w:rsid w:val="00E95A59"/>
    <w:rsid w:val="013D7E5F"/>
    <w:rsid w:val="01697ADC"/>
    <w:rsid w:val="028268AC"/>
    <w:rsid w:val="029611CC"/>
    <w:rsid w:val="02ED7EC0"/>
    <w:rsid w:val="03CA3305"/>
    <w:rsid w:val="046917C8"/>
    <w:rsid w:val="04AF1A8A"/>
    <w:rsid w:val="05107E95"/>
    <w:rsid w:val="05456BC9"/>
    <w:rsid w:val="05777A14"/>
    <w:rsid w:val="05AD3936"/>
    <w:rsid w:val="05E87F89"/>
    <w:rsid w:val="0618011B"/>
    <w:rsid w:val="062354A1"/>
    <w:rsid w:val="08335E13"/>
    <w:rsid w:val="08E429F3"/>
    <w:rsid w:val="095E1336"/>
    <w:rsid w:val="09A14A08"/>
    <w:rsid w:val="09C3197A"/>
    <w:rsid w:val="0A3F18D5"/>
    <w:rsid w:val="0A7A577E"/>
    <w:rsid w:val="0BA13F3D"/>
    <w:rsid w:val="0BD57D1F"/>
    <w:rsid w:val="0D1236CD"/>
    <w:rsid w:val="0DF571DE"/>
    <w:rsid w:val="0E582228"/>
    <w:rsid w:val="0E754D73"/>
    <w:rsid w:val="0E7B405B"/>
    <w:rsid w:val="0E9926C7"/>
    <w:rsid w:val="0E9F1EDC"/>
    <w:rsid w:val="0EF62E28"/>
    <w:rsid w:val="0F3B6457"/>
    <w:rsid w:val="103233B6"/>
    <w:rsid w:val="103745E9"/>
    <w:rsid w:val="103A0571"/>
    <w:rsid w:val="10601A98"/>
    <w:rsid w:val="107919B4"/>
    <w:rsid w:val="10E36DA6"/>
    <w:rsid w:val="10EB5C2A"/>
    <w:rsid w:val="135F0ED4"/>
    <w:rsid w:val="145F04F1"/>
    <w:rsid w:val="14C60571"/>
    <w:rsid w:val="15525A21"/>
    <w:rsid w:val="15CC605B"/>
    <w:rsid w:val="15DB5FEB"/>
    <w:rsid w:val="16291BE9"/>
    <w:rsid w:val="16907907"/>
    <w:rsid w:val="16927F4F"/>
    <w:rsid w:val="17366546"/>
    <w:rsid w:val="17CF7721"/>
    <w:rsid w:val="18014470"/>
    <w:rsid w:val="1814168B"/>
    <w:rsid w:val="184542A2"/>
    <w:rsid w:val="185928A2"/>
    <w:rsid w:val="1873021E"/>
    <w:rsid w:val="18F631A7"/>
    <w:rsid w:val="19077E79"/>
    <w:rsid w:val="190D49C0"/>
    <w:rsid w:val="194264EF"/>
    <w:rsid w:val="1A4B274D"/>
    <w:rsid w:val="1AB40E6F"/>
    <w:rsid w:val="1AB53561"/>
    <w:rsid w:val="1B6E3190"/>
    <w:rsid w:val="1C4F1869"/>
    <w:rsid w:val="1CDD62D3"/>
    <w:rsid w:val="1D5F77C9"/>
    <w:rsid w:val="1E93476F"/>
    <w:rsid w:val="1ED1500C"/>
    <w:rsid w:val="1EE639F6"/>
    <w:rsid w:val="1EF36406"/>
    <w:rsid w:val="1F026787"/>
    <w:rsid w:val="1F831AAB"/>
    <w:rsid w:val="20545A05"/>
    <w:rsid w:val="209207D9"/>
    <w:rsid w:val="20C95363"/>
    <w:rsid w:val="21D65F86"/>
    <w:rsid w:val="21ED6D50"/>
    <w:rsid w:val="22220750"/>
    <w:rsid w:val="224E3F9E"/>
    <w:rsid w:val="22A423EB"/>
    <w:rsid w:val="22FF50CE"/>
    <w:rsid w:val="23AA155D"/>
    <w:rsid w:val="243E7A3D"/>
    <w:rsid w:val="2466703C"/>
    <w:rsid w:val="2471320F"/>
    <w:rsid w:val="25236B1F"/>
    <w:rsid w:val="256F0733"/>
    <w:rsid w:val="26136A8F"/>
    <w:rsid w:val="264B2FCC"/>
    <w:rsid w:val="26B50445"/>
    <w:rsid w:val="26B548B5"/>
    <w:rsid w:val="2753038A"/>
    <w:rsid w:val="276E48BA"/>
    <w:rsid w:val="28336834"/>
    <w:rsid w:val="28F72F97"/>
    <w:rsid w:val="29246A86"/>
    <w:rsid w:val="292A1D28"/>
    <w:rsid w:val="29533BC4"/>
    <w:rsid w:val="29E928DF"/>
    <w:rsid w:val="2AFA64F9"/>
    <w:rsid w:val="2C0B5C63"/>
    <w:rsid w:val="2C203E2A"/>
    <w:rsid w:val="2C2D60E5"/>
    <w:rsid w:val="2C7F69C7"/>
    <w:rsid w:val="2CAE73B1"/>
    <w:rsid w:val="2DB409C1"/>
    <w:rsid w:val="2ECF1A8A"/>
    <w:rsid w:val="2EF24F0A"/>
    <w:rsid w:val="2EF45F61"/>
    <w:rsid w:val="2F466641"/>
    <w:rsid w:val="2FAA198B"/>
    <w:rsid w:val="30525930"/>
    <w:rsid w:val="30851B7F"/>
    <w:rsid w:val="315A06BD"/>
    <w:rsid w:val="31866394"/>
    <w:rsid w:val="31D83BEE"/>
    <w:rsid w:val="322144CB"/>
    <w:rsid w:val="322841C1"/>
    <w:rsid w:val="327F7620"/>
    <w:rsid w:val="32F90250"/>
    <w:rsid w:val="33A464A8"/>
    <w:rsid w:val="33B26438"/>
    <w:rsid w:val="34032FA0"/>
    <w:rsid w:val="34951FE2"/>
    <w:rsid w:val="34BF49EE"/>
    <w:rsid w:val="35094FF9"/>
    <w:rsid w:val="350D519C"/>
    <w:rsid w:val="35533136"/>
    <w:rsid w:val="356B1312"/>
    <w:rsid w:val="35A117DA"/>
    <w:rsid w:val="35C01E5B"/>
    <w:rsid w:val="36D53091"/>
    <w:rsid w:val="373E712E"/>
    <w:rsid w:val="379F5672"/>
    <w:rsid w:val="37D4439C"/>
    <w:rsid w:val="37D6437D"/>
    <w:rsid w:val="37E84355"/>
    <w:rsid w:val="3853032B"/>
    <w:rsid w:val="38970F1F"/>
    <w:rsid w:val="38AC0C6D"/>
    <w:rsid w:val="38B60778"/>
    <w:rsid w:val="38BA4F7F"/>
    <w:rsid w:val="39260D4F"/>
    <w:rsid w:val="39BE750D"/>
    <w:rsid w:val="3A192D6D"/>
    <w:rsid w:val="3A225760"/>
    <w:rsid w:val="3A97508A"/>
    <w:rsid w:val="3C2B2668"/>
    <w:rsid w:val="3C381165"/>
    <w:rsid w:val="3E2F68B1"/>
    <w:rsid w:val="3EEF22EE"/>
    <w:rsid w:val="3EFC4A0B"/>
    <w:rsid w:val="3FB910C4"/>
    <w:rsid w:val="3FF027C2"/>
    <w:rsid w:val="403A021F"/>
    <w:rsid w:val="40DF1A31"/>
    <w:rsid w:val="412B1985"/>
    <w:rsid w:val="416B776E"/>
    <w:rsid w:val="41A82C28"/>
    <w:rsid w:val="429C1ED5"/>
    <w:rsid w:val="42BF5387"/>
    <w:rsid w:val="43551D15"/>
    <w:rsid w:val="438307EA"/>
    <w:rsid w:val="44C52058"/>
    <w:rsid w:val="44F20D8A"/>
    <w:rsid w:val="4592322C"/>
    <w:rsid w:val="45A332B4"/>
    <w:rsid w:val="45E60432"/>
    <w:rsid w:val="45EB67DD"/>
    <w:rsid w:val="464F2DA5"/>
    <w:rsid w:val="4760218C"/>
    <w:rsid w:val="478B1992"/>
    <w:rsid w:val="48483F68"/>
    <w:rsid w:val="488B3E95"/>
    <w:rsid w:val="48D34498"/>
    <w:rsid w:val="49746212"/>
    <w:rsid w:val="49D019B5"/>
    <w:rsid w:val="4A196DEA"/>
    <w:rsid w:val="4A73021F"/>
    <w:rsid w:val="4C6205A3"/>
    <w:rsid w:val="4C9110E1"/>
    <w:rsid w:val="4CEA0599"/>
    <w:rsid w:val="4DB50BA7"/>
    <w:rsid w:val="4DCE3A17"/>
    <w:rsid w:val="4DD3102D"/>
    <w:rsid w:val="4DDC32B2"/>
    <w:rsid w:val="4E196921"/>
    <w:rsid w:val="4E6B1D39"/>
    <w:rsid w:val="4E892EF0"/>
    <w:rsid w:val="4EE740AC"/>
    <w:rsid w:val="4F272294"/>
    <w:rsid w:val="4F89700D"/>
    <w:rsid w:val="50B04281"/>
    <w:rsid w:val="51C23892"/>
    <w:rsid w:val="527523E2"/>
    <w:rsid w:val="53057EDB"/>
    <w:rsid w:val="53272682"/>
    <w:rsid w:val="53694659"/>
    <w:rsid w:val="540168F4"/>
    <w:rsid w:val="54ED5E4C"/>
    <w:rsid w:val="55223E9E"/>
    <w:rsid w:val="552A3C28"/>
    <w:rsid w:val="559B77F6"/>
    <w:rsid w:val="561D4986"/>
    <w:rsid w:val="56260564"/>
    <w:rsid w:val="5651179D"/>
    <w:rsid w:val="56821842"/>
    <w:rsid w:val="57A86309"/>
    <w:rsid w:val="58405511"/>
    <w:rsid w:val="58782EFD"/>
    <w:rsid w:val="58C668A2"/>
    <w:rsid w:val="592310BA"/>
    <w:rsid w:val="592F0980"/>
    <w:rsid w:val="59722E4C"/>
    <w:rsid w:val="59757BA2"/>
    <w:rsid w:val="59780713"/>
    <w:rsid w:val="59812E94"/>
    <w:rsid w:val="5A057953"/>
    <w:rsid w:val="5A3966BE"/>
    <w:rsid w:val="5A877E4C"/>
    <w:rsid w:val="5B504D37"/>
    <w:rsid w:val="5B623A34"/>
    <w:rsid w:val="5BB34176"/>
    <w:rsid w:val="5BC14AA9"/>
    <w:rsid w:val="5BF96948"/>
    <w:rsid w:val="5C7D0F17"/>
    <w:rsid w:val="5CAE64AD"/>
    <w:rsid w:val="5CE111EA"/>
    <w:rsid w:val="5DDD448E"/>
    <w:rsid w:val="5FB43F85"/>
    <w:rsid w:val="60066A07"/>
    <w:rsid w:val="60707D95"/>
    <w:rsid w:val="60AD30F8"/>
    <w:rsid w:val="61020388"/>
    <w:rsid w:val="61C62F2B"/>
    <w:rsid w:val="61E41157"/>
    <w:rsid w:val="61F52E4A"/>
    <w:rsid w:val="625B0C80"/>
    <w:rsid w:val="626949E5"/>
    <w:rsid w:val="629701CA"/>
    <w:rsid w:val="62A25746"/>
    <w:rsid w:val="63EA7A4C"/>
    <w:rsid w:val="648F6E83"/>
    <w:rsid w:val="64916C0C"/>
    <w:rsid w:val="65073D20"/>
    <w:rsid w:val="65A30754"/>
    <w:rsid w:val="65C612B5"/>
    <w:rsid w:val="65CE2BFE"/>
    <w:rsid w:val="660503F6"/>
    <w:rsid w:val="660D3EF0"/>
    <w:rsid w:val="66BF7262"/>
    <w:rsid w:val="672F0112"/>
    <w:rsid w:val="67C02C0D"/>
    <w:rsid w:val="682578CD"/>
    <w:rsid w:val="684B5633"/>
    <w:rsid w:val="691914D9"/>
    <w:rsid w:val="697B284D"/>
    <w:rsid w:val="69D56401"/>
    <w:rsid w:val="69DD7064"/>
    <w:rsid w:val="6A110330"/>
    <w:rsid w:val="6A31115D"/>
    <w:rsid w:val="6A935974"/>
    <w:rsid w:val="6A941E18"/>
    <w:rsid w:val="6B0E3ED1"/>
    <w:rsid w:val="6C8B228A"/>
    <w:rsid w:val="6D721187"/>
    <w:rsid w:val="6DBF01E5"/>
    <w:rsid w:val="6ED93218"/>
    <w:rsid w:val="6F327E52"/>
    <w:rsid w:val="6F4B35E8"/>
    <w:rsid w:val="70074E3A"/>
    <w:rsid w:val="700E6579"/>
    <w:rsid w:val="703419D5"/>
    <w:rsid w:val="70B6524F"/>
    <w:rsid w:val="71B0505E"/>
    <w:rsid w:val="71D30201"/>
    <w:rsid w:val="71DA3EDA"/>
    <w:rsid w:val="72750F91"/>
    <w:rsid w:val="73994F04"/>
    <w:rsid w:val="73A155A6"/>
    <w:rsid w:val="73F95119"/>
    <w:rsid w:val="747558F0"/>
    <w:rsid w:val="756E14B8"/>
    <w:rsid w:val="76166537"/>
    <w:rsid w:val="761A48BA"/>
    <w:rsid w:val="787C0E42"/>
    <w:rsid w:val="78CB73E9"/>
    <w:rsid w:val="796B1958"/>
    <w:rsid w:val="79E67173"/>
    <w:rsid w:val="7A0237E3"/>
    <w:rsid w:val="7AA92CB5"/>
    <w:rsid w:val="7B173A27"/>
    <w:rsid w:val="7B5D12F8"/>
    <w:rsid w:val="7BAA1790"/>
    <w:rsid w:val="7BEF28E8"/>
    <w:rsid w:val="7BF75C1C"/>
    <w:rsid w:val="7D8C2771"/>
    <w:rsid w:val="7DCB6309"/>
    <w:rsid w:val="7E051DD6"/>
    <w:rsid w:val="7ED00AED"/>
    <w:rsid w:val="7EF109B6"/>
    <w:rsid w:val="7F286BFF"/>
    <w:rsid w:val="7FCE6125"/>
    <w:rsid w:val="7FEA1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31"/>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5">
    <w:name w:val="heading 2"/>
    <w:basedOn w:val="1"/>
    <w:next w:val="1"/>
    <w:link w:val="32"/>
    <w:semiHidden/>
    <w:unhideWhenUsed/>
    <w:qFormat/>
    <w:uiPriority w:val="0"/>
    <w:pPr>
      <w:keepNext/>
      <w:keepLines/>
      <w:spacing w:before="260" w:after="260" w:line="415" w:lineRule="auto"/>
      <w:outlineLvl w:val="1"/>
    </w:pPr>
    <w:rPr>
      <w:rFonts w:ascii="Cambria" w:hAnsi="Cambria" w:eastAsia="宋体" w:cs="Times New Roman"/>
      <w:b/>
      <w:bCs/>
      <w:sz w:val="32"/>
      <w:szCs w:val="32"/>
    </w:rPr>
  </w:style>
  <w:style w:type="paragraph" w:styleId="6">
    <w:name w:val="heading 3"/>
    <w:basedOn w:val="1"/>
    <w:next w:val="1"/>
    <w:semiHidden/>
    <w:unhideWhenUsed/>
    <w:qFormat/>
    <w:uiPriority w:val="0"/>
    <w:pPr>
      <w:keepNext/>
      <w:keepLines/>
      <w:spacing w:before="260" w:after="260" w:line="415" w:lineRule="auto"/>
      <w:outlineLvl w:val="2"/>
    </w:pPr>
    <w:rPr>
      <w:rFonts w:ascii="Times New Roman" w:hAnsi="Times New Roman" w:eastAsia="宋体" w:cs="Times New Roman"/>
      <w:b/>
      <w:bCs/>
      <w:sz w:val="32"/>
      <w:szCs w:val="32"/>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7">
    <w:name w:val="index 6"/>
    <w:basedOn w:val="1"/>
    <w:next w:val="1"/>
    <w:qFormat/>
    <w:uiPriority w:val="99"/>
    <w:pPr>
      <w:ind w:left="2100"/>
    </w:pPr>
  </w:style>
  <w:style w:type="paragraph" w:styleId="8">
    <w:name w:val="Body Text"/>
    <w:basedOn w:val="1"/>
    <w:qFormat/>
    <w:uiPriority w:val="0"/>
    <w:pPr>
      <w:spacing w:beforeLines="30"/>
    </w:pPr>
    <w:rPr>
      <w:rFonts w:ascii="仿宋_GB2312" w:hAnsi="Times New Roman" w:eastAsia="仿宋_GB2312" w:cs="Times New Roman"/>
      <w:kern w:val="0"/>
      <w:sz w:val="30"/>
      <w:szCs w:val="30"/>
    </w:rPr>
  </w:style>
  <w:style w:type="paragraph" w:styleId="9">
    <w:name w:val="Plain Text"/>
    <w:basedOn w:val="1"/>
    <w:qFormat/>
    <w:uiPriority w:val="99"/>
    <w:rPr>
      <w:rFonts w:ascii="宋体" w:hAnsi="Courier New" w:cs="Courier New"/>
      <w:szCs w:val="21"/>
    </w:rPr>
  </w:style>
  <w:style w:type="paragraph" w:styleId="10">
    <w:name w:val="Balloon Text"/>
    <w:basedOn w:val="1"/>
    <w:link w:val="34"/>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qFormat/>
    <w:uiPriority w:val="0"/>
    <w:pPr>
      <w:spacing w:before="93"/>
      <w:jc w:val="center"/>
    </w:pPr>
    <w:rPr>
      <w:rFonts w:hint="eastAsia" w:ascii="仿宋" w:hAnsi="仿宋" w:eastAsia="仿宋" w:cs="Times New Roman"/>
      <w:sz w:val="28"/>
      <w:szCs w:val="28"/>
    </w:rPr>
  </w:style>
  <w:style w:type="paragraph" w:styleId="14">
    <w:name w:val="table of figures"/>
    <w:basedOn w:val="1"/>
    <w:next w:val="1"/>
    <w:unhideWhenUsed/>
    <w:qFormat/>
    <w:uiPriority w:val="0"/>
    <w:pPr>
      <w:ind w:left="200" w:leftChars="200" w:hanging="200" w:hangingChars="200"/>
    </w:pPr>
  </w:style>
  <w:style w:type="paragraph" w:styleId="15">
    <w:name w:val="toc 2"/>
    <w:basedOn w:val="1"/>
    <w:next w:val="1"/>
    <w:qFormat/>
    <w:uiPriority w:val="0"/>
    <w:pPr>
      <w:ind w:left="420" w:leftChars="200"/>
    </w:pPr>
    <w:rPr>
      <w:rFonts w:ascii="Times New Roman" w:hAnsi="Times New Roman" w:eastAsia="宋体" w:cs="Times New Roman"/>
      <w:szCs w:val="21"/>
    </w:rPr>
  </w:style>
  <w:style w:type="paragraph" w:styleId="16">
    <w:name w:val="Body Text 2"/>
    <w:basedOn w:val="1"/>
    <w:qFormat/>
    <w:uiPriority w:val="0"/>
    <w:pPr>
      <w:widowControl/>
      <w:spacing w:line="400" w:lineRule="atLeast"/>
      <w:jc w:val="left"/>
    </w:pPr>
    <w:rPr>
      <w:kern w:val="0"/>
      <w:szCs w:val="20"/>
    </w:rPr>
  </w:style>
  <w:style w:type="paragraph" w:styleId="17">
    <w:name w:val="Normal (Web)"/>
    <w:basedOn w:val="1"/>
    <w:qFormat/>
    <w:uiPriority w:val="0"/>
    <w:pPr>
      <w:widowControl/>
      <w:spacing w:beforeAutospacing="1" w:afterAutospacing="1"/>
      <w:jc w:val="left"/>
    </w:pPr>
    <w:rPr>
      <w:rFonts w:ascii="宋体" w:hAnsi="宋体" w:eastAsia="宋体" w:cs="Times New Roman"/>
      <w:kern w:val="0"/>
      <w:sz w:val="24"/>
    </w:rPr>
  </w:style>
  <w:style w:type="character" w:styleId="20">
    <w:name w:val="Strong"/>
    <w:basedOn w:val="19"/>
    <w:qFormat/>
    <w:uiPriority w:val="99"/>
    <w:rPr>
      <w:rFonts w:cs="Times New Roman"/>
      <w:b/>
    </w:rPr>
  </w:style>
  <w:style w:type="paragraph" w:customStyle="1" w:styleId="21">
    <w:name w:val="列出段落1"/>
    <w:basedOn w:val="1"/>
    <w:qFormat/>
    <w:uiPriority w:val="0"/>
    <w:pPr>
      <w:ind w:firstLine="420" w:firstLineChars="200"/>
    </w:pPr>
    <w:rPr>
      <w:rFonts w:ascii="Times New Roman" w:hAnsi="Times New Roman" w:eastAsia="宋体" w:cs="Times New Roman"/>
      <w:szCs w:val="21"/>
    </w:rPr>
  </w:style>
  <w:style w:type="character" w:customStyle="1" w:styleId="22">
    <w:name w:val="15"/>
    <w:basedOn w:val="19"/>
    <w:qFormat/>
    <w:uiPriority w:val="0"/>
    <w:rPr>
      <w:rFonts w:hint="default" w:ascii="Cambria" w:hAnsi="Cambria" w:eastAsia="Cambria" w:cs="Times New Roman"/>
      <w:b/>
      <w:bCs/>
      <w:kern w:val="2"/>
      <w:sz w:val="32"/>
      <w:szCs w:val="32"/>
    </w:rPr>
  </w:style>
  <w:style w:type="paragraph" w:customStyle="1" w:styleId="23">
    <w:name w:val="Default"/>
    <w:basedOn w:val="1"/>
    <w:qFormat/>
    <w:uiPriority w:val="0"/>
    <w:pPr>
      <w:autoSpaceDE w:val="0"/>
      <w:autoSpaceDN w:val="0"/>
      <w:adjustRightInd w:val="0"/>
      <w:jc w:val="left"/>
    </w:pPr>
    <w:rPr>
      <w:rFonts w:hint="eastAsia" w:ascii="仿宋" w:hAnsi="Calibri" w:eastAsia="仿宋" w:cs="Times New Roman"/>
      <w:color w:val="000000"/>
      <w:kern w:val="0"/>
      <w:sz w:val="24"/>
    </w:rPr>
  </w:style>
  <w:style w:type="character" w:customStyle="1" w:styleId="24">
    <w:name w:val="16"/>
    <w:basedOn w:val="19"/>
    <w:qFormat/>
    <w:uiPriority w:val="0"/>
    <w:rPr>
      <w:rFonts w:hint="default" w:ascii="Times New Roman" w:hAnsi="Times New Roman" w:cs="Times New Roman"/>
      <w:b/>
      <w:bCs/>
      <w:kern w:val="44"/>
      <w:sz w:val="44"/>
      <w:szCs w:val="44"/>
    </w:rPr>
  </w:style>
  <w:style w:type="character" w:customStyle="1" w:styleId="25">
    <w:name w:val="10"/>
    <w:basedOn w:val="19"/>
    <w:qFormat/>
    <w:uiPriority w:val="0"/>
    <w:rPr>
      <w:rFonts w:hint="default" w:ascii="Calibri" w:hAnsi="Calibri" w:cs="Calibri"/>
    </w:rPr>
  </w:style>
  <w:style w:type="character" w:customStyle="1" w:styleId="26">
    <w:name w:val="17"/>
    <w:basedOn w:val="19"/>
    <w:qFormat/>
    <w:uiPriority w:val="0"/>
    <w:rPr>
      <w:rFonts w:hint="default" w:ascii="Calibri" w:hAnsi="Calibri" w:cs="Calibri"/>
      <w:color w:val="0000FF"/>
      <w:u w:val="single"/>
    </w:rPr>
  </w:style>
  <w:style w:type="character" w:customStyle="1" w:styleId="27">
    <w:name w:val="18"/>
    <w:basedOn w:val="19"/>
    <w:qFormat/>
    <w:uiPriority w:val="0"/>
    <w:rPr>
      <w:rFonts w:hint="default" w:ascii="Calibri" w:hAnsi="Calibri" w:cs="Calibri"/>
      <w:b/>
    </w:rPr>
  </w:style>
  <w:style w:type="character" w:customStyle="1" w:styleId="28">
    <w:name w:val="font11"/>
    <w:basedOn w:val="19"/>
    <w:qFormat/>
    <w:uiPriority w:val="0"/>
    <w:rPr>
      <w:rFonts w:hint="eastAsia" w:ascii="宋体" w:hAnsi="宋体" w:eastAsia="宋体" w:cs="宋体"/>
      <w:color w:val="000000"/>
      <w:sz w:val="18"/>
      <w:szCs w:val="18"/>
      <w:u w:val="none"/>
    </w:rPr>
  </w:style>
  <w:style w:type="paragraph" w:customStyle="1" w:styleId="29">
    <w:name w:val="WPSOffice手动目录 1"/>
    <w:qFormat/>
    <w:uiPriority w:val="0"/>
    <w:rPr>
      <w:rFonts w:ascii="Times New Roman" w:hAnsi="Times New Roman" w:eastAsia="宋体" w:cs="Times New Roman"/>
      <w:lang w:val="en-US" w:eastAsia="zh-CN" w:bidi="ar-SA"/>
    </w:rPr>
  </w:style>
  <w:style w:type="paragraph" w:customStyle="1" w:styleId="3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1">
    <w:name w:val="标题 1 Char"/>
    <w:basedOn w:val="19"/>
    <w:link w:val="4"/>
    <w:qFormat/>
    <w:uiPriority w:val="9"/>
    <w:rPr>
      <w:rFonts w:hint="default" w:ascii="Times New Roman" w:hAnsi="Times New Roman" w:eastAsia="宋体" w:cs="Times New Roman"/>
      <w:b/>
      <w:bCs/>
      <w:kern w:val="44"/>
      <w:sz w:val="44"/>
      <w:szCs w:val="44"/>
      <w:lang w:val="en-US" w:eastAsia="zh-CN"/>
    </w:rPr>
  </w:style>
  <w:style w:type="character" w:customStyle="1" w:styleId="32">
    <w:name w:val="标题 2 Char"/>
    <w:basedOn w:val="19"/>
    <w:link w:val="5"/>
    <w:qFormat/>
    <w:uiPriority w:val="9"/>
    <w:rPr>
      <w:rFonts w:hint="default" w:ascii="Cambria" w:hAnsi="Cambria" w:eastAsia="宋体" w:cs="Times New Roman"/>
      <w:b/>
      <w:bCs/>
      <w:kern w:val="2"/>
      <w:sz w:val="32"/>
      <w:szCs w:val="32"/>
      <w:lang w:val="en-US" w:eastAsia="zh-CN"/>
    </w:rPr>
  </w:style>
  <w:style w:type="paragraph" w:customStyle="1" w:styleId="33">
    <w:name w:val="table of figures1"/>
    <w:basedOn w:val="1"/>
    <w:next w:val="1"/>
    <w:qFormat/>
    <w:uiPriority w:val="99"/>
    <w:pPr>
      <w:ind w:left="200" w:leftChars="200" w:hanging="200" w:hangingChars="200"/>
    </w:pPr>
  </w:style>
  <w:style w:type="character" w:customStyle="1" w:styleId="34">
    <w:name w:val="批注框文本 Char"/>
    <w:basedOn w:val="19"/>
    <w:link w:val="10"/>
    <w:qFormat/>
    <w:uiPriority w:val="0"/>
    <w:rPr>
      <w:rFonts w:asciiTheme="minorHAnsi" w:hAnsiTheme="minorHAnsi" w:eastAsiaTheme="minorEastAsia" w:cstheme="minorBidi"/>
      <w:kern w:val="2"/>
      <w:sz w:val="18"/>
      <w:szCs w:val="18"/>
    </w:rPr>
  </w:style>
  <w:style w:type="table" w:customStyle="1" w:styleId="3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收、支决算总计变动情况图</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工作表.xls]Sheet1'!$I$33:$I$34</c:f>
              <c:strCache>
                <c:ptCount val="2"/>
                <c:pt idx="0">
                  <c:v>2021年</c:v>
                </c:pt>
                <c:pt idx="1">
                  <c:v>2022年</c:v>
                </c:pt>
              </c:strCache>
            </c:strRef>
          </c:cat>
          <c:val>
            <c:numRef>
              <c:f>'[新建 XLS 工作表.xls]Sheet1'!$J$33:$J$34</c:f>
              <c:numCache>
                <c:formatCode>General</c:formatCode>
                <c:ptCount val="2"/>
                <c:pt idx="0">
                  <c:v>1531.58</c:v>
                </c:pt>
                <c:pt idx="1">
                  <c:v>1741.14</c:v>
                </c:pt>
              </c:numCache>
            </c:numRef>
          </c:val>
        </c:ser>
        <c:dLbls>
          <c:showLegendKey val="0"/>
          <c:showVal val="1"/>
          <c:showCatName val="0"/>
          <c:showSerName val="0"/>
          <c:showPercent val="0"/>
          <c:showBubbleSize val="0"/>
        </c:dLbls>
        <c:gapWidth val="246"/>
        <c:overlap val="-28"/>
        <c:axId val="52889472"/>
        <c:axId val="52896512"/>
      </c:barChart>
      <c:catAx>
        <c:axId val="5288947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896512"/>
        <c:crosses val="autoZero"/>
        <c:auto val="1"/>
        <c:lblAlgn val="ctr"/>
        <c:lblOffset val="100"/>
        <c:noMultiLvlLbl val="0"/>
      </c:catAx>
      <c:valAx>
        <c:axId val="52896512"/>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2889472"/>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2022</a:t>
            </a:r>
            <a:r>
              <a:rPr altLang="en-US"/>
              <a:t>年收入决算结构图</a:t>
            </a:r>
            <a:endParaRPr altLang="en-US"/>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工作表.xls]Sheet2'!$D$10:$D$11</c:f>
              <c:strCache>
                <c:ptCount val="2"/>
                <c:pt idx="0">
                  <c:v>一般公共预算财政拨款收入</c:v>
                </c:pt>
                <c:pt idx="1">
                  <c:v>政府性基金预算财政拨款收入</c:v>
                </c:pt>
              </c:strCache>
            </c:strRef>
          </c:cat>
          <c:val>
            <c:numRef>
              <c:f>'[新建 XLS 工作表.xls]Sheet2'!$E$10:$E$11</c:f>
              <c:numCache>
                <c:formatCode>0.00%</c:formatCode>
                <c:ptCount val="2"/>
                <c:pt idx="0">
                  <c:v>0.9911</c:v>
                </c:pt>
                <c:pt idx="1">
                  <c:v>0.00890000000000001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2022</a:t>
            </a:r>
            <a:r>
              <a:rPr altLang="en-US"/>
              <a:t>年</a:t>
            </a:r>
            <a:r>
              <a:t>支出决算结构图</a:t>
            </a:r>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工作表.xls]Sheet3'!$M$10:$M$11</c:f>
              <c:strCache>
                <c:ptCount val="2"/>
                <c:pt idx="0">
                  <c:v>基本支出</c:v>
                </c:pt>
                <c:pt idx="1">
                  <c:v>项目支出</c:v>
                </c:pt>
              </c:strCache>
            </c:strRef>
          </c:cat>
          <c:val>
            <c:numRef>
              <c:f>'[新建 XLS 工作表.xls]Sheet3'!$N$10:$N$11</c:f>
              <c:numCache>
                <c:formatCode>0.00%</c:formatCode>
                <c:ptCount val="2"/>
                <c:pt idx="0">
                  <c:v>0.611900000000001</c:v>
                </c:pt>
                <c:pt idx="1">
                  <c:v>0.3881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财政拨款收、支决算总计变动图</a:t>
            </a:r>
          </a:p>
        </c:rich>
      </c:tx>
      <c:layout>
        <c:manualLayout>
          <c:xMode val="edge"/>
          <c:yMode val="edge"/>
          <c:x val="0.237102966268539"/>
          <c:y val="0.0347936804905936"/>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工作表.xls]Sheet1'!$I$33:$I$34</c:f>
              <c:strCache>
                <c:ptCount val="2"/>
                <c:pt idx="0">
                  <c:v>2021年</c:v>
                </c:pt>
                <c:pt idx="1">
                  <c:v>2022年</c:v>
                </c:pt>
              </c:strCache>
            </c:strRef>
          </c:cat>
          <c:val>
            <c:numRef>
              <c:f>'[新建 XLS 工作表.xls]Sheet1'!$J$33:$J$34</c:f>
              <c:numCache>
                <c:formatCode>General</c:formatCode>
                <c:ptCount val="2"/>
                <c:pt idx="0">
                  <c:v>1531.58</c:v>
                </c:pt>
                <c:pt idx="1">
                  <c:v>1741.14</c:v>
                </c:pt>
              </c:numCache>
            </c:numRef>
          </c:val>
        </c:ser>
        <c:dLbls>
          <c:showLegendKey val="0"/>
          <c:showVal val="1"/>
          <c:showCatName val="0"/>
          <c:showSerName val="0"/>
          <c:showPercent val="0"/>
          <c:showBubbleSize val="0"/>
        </c:dLbls>
        <c:gapWidth val="246"/>
        <c:overlap val="-28"/>
        <c:axId val="51319936"/>
        <c:axId val="51321472"/>
      </c:barChart>
      <c:catAx>
        <c:axId val="5131993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321472"/>
        <c:crosses val="autoZero"/>
        <c:auto val="1"/>
        <c:lblAlgn val="ctr"/>
        <c:lblOffset val="100"/>
        <c:noMultiLvlLbl val="0"/>
      </c:catAx>
      <c:valAx>
        <c:axId val="51321472"/>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319936"/>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一般公共预算财政拨款支出决算变动图</a:t>
            </a:r>
          </a:p>
        </c:rich>
      </c:tx>
      <c:layout>
        <c:manualLayout>
          <c:xMode val="edge"/>
          <c:yMode val="edge"/>
          <c:x val="0.177631578947368"/>
          <c:y val="0.0451388888888889"/>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工作表.xls]Sheet1'!$I$33:$I$34</c:f>
              <c:strCache>
                <c:ptCount val="2"/>
                <c:pt idx="0">
                  <c:v>2021年</c:v>
                </c:pt>
                <c:pt idx="1">
                  <c:v>2022年</c:v>
                </c:pt>
              </c:strCache>
            </c:strRef>
          </c:cat>
          <c:val>
            <c:numRef>
              <c:f>'[新建 XLS 工作表.xls]Sheet1'!$J$33:$J$34</c:f>
              <c:numCache>
                <c:formatCode>General</c:formatCode>
                <c:ptCount val="2"/>
                <c:pt idx="0">
                  <c:v>1531.58</c:v>
                </c:pt>
                <c:pt idx="1">
                  <c:v>1725.64</c:v>
                </c:pt>
              </c:numCache>
            </c:numRef>
          </c:val>
        </c:ser>
        <c:dLbls>
          <c:showLegendKey val="0"/>
          <c:showVal val="1"/>
          <c:showCatName val="0"/>
          <c:showSerName val="0"/>
          <c:showPercent val="0"/>
          <c:showBubbleSize val="0"/>
        </c:dLbls>
        <c:gapWidth val="246"/>
        <c:overlap val="-28"/>
        <c:axId val="51356032"/>
        <c:axId val="51357568"/>
      </c:barChart>
      <c:catAx>
        <c:axId val="5135603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357568"/>
        <c:crosses val="autoZero"/>
        <c:auto val="1"/>
        <c:lblAlgn val="ctr"/>
        <c:lblOffset val="100"/>
        <c:noMultiLvlLbl val="0"/>
      </c:catAx>
      <c:valAx>
        <c:axId val="51357568"/>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356032"/>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dTable>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2022</a:t>
            </a:r>
            <a:r>
              <a:rPr altLang="en-US"/>
              <a:t>年一般公共预算财政拨款支出决算结构图</a:t>
            </a:r>
            <a:endParaRPr altLang="en-US"/>
          </a:p>
        </c:rich>
      </c:tx>
      <c:layout/>
      <c:overlay val="0"/>
      <c:spPr>
        <a:noFill/>
        <a:ln>
          <a:noFill/>
        </a:ln>
        <a:effectLst/>
      </c:spPr>
    </c:title>
    <c:autoTitleDeleted val="0"/>
    <c:plotArea>
      <c:layout/>
      <c:pieChart>
        <c:varyColors val="1"/>
        <c:ser>
          <c:idx val="0"/>
          <c:order val="0"/>
          <c:explosion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工作表.xls]Sheet3'!$F$11:$F$18</c:f>
              <c:strCache>
                <c:ptCount val="8"/>
                <c:pt idx="0">
                  <c:v>一般公共服务</c:v>
                </c:pt>
                <c:pt idx="1">
                  <c:v>文化旅游体育与传媒</c:v>
                </c:pt>
                <c:pt idx="2">
                  <c:v>社会保障和就业</c:v>
                </c:pt>
                <c:pt idx="3">
                  <c:v>卫生健康</c:v>
                </c:pt>
                <c:pt idx="4">
                  <c:v>城乡社区</c:v>
                </c:pt>
                <c:pt idx="5">
                  <c:v>农林水</c:v>
                </c:pt>
                <c:pt idx="6">
                  <c:v>住房保障</c:v>
                </c:pt>
                <c:pt idx="7">
                  <c:v>灾害防治及应急管理</c:v>
                </c:pt>
              </c:strCache>
            </c:strRef>
          </c:cat>
          <c:val>
            <c:numRef>
              <c:f>'[新建 XLS 工作表.xls]Sheet3'!$G$11:$G$18</c:f>
            </c:numRef>
          </c:val>
        </c:ser>
        <c:ser>
          <c:idx val="1"/>
          <c:order val="1"/>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Pt>
            <c:idx val="6"/>
            <c:bubble3D val="0"/>
            <c:spPr>
              <a:solidFill>
                <a:schemeClr val="accent1">
                  <a:lumMod val="60000"/>
                </a:schemeClr>
              </a:solidFill>
              <a:ln>
                <a:solidFill>
                  <a:schemeClr val="bg1"/>
                </a:solidFill>
              </a:ln>
              <a:effectLst/>
            </c:spPr>
          </c:dPt>
          <c:dPt>
            <c:idx val="7"/>
            <c:bubble3D val="0"/>
            <c:spPr>
              <a:solidFill>
                <a:schemeClr val="accent2">
                  <a:lumMod val="60000"/>
                </a:schemeClr>
              </a:solidFill>
              <a:ln>
                <a:solidFill>
                  <a:schemeClr val="bg1"/>
                </a:solidFill>
              </a:ln>
              <a:effectLst/>
            </c:spPr>
          </c:dPt>
          <c:dLbls>
            <c:dLbl>
              <c:idx val="3"/>
              <c:layout>
                <c:manualLayout>
                  <c:x val="-0.00497943712221396"/>
                  <c:y val="0.028121940999755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solidFill>
                <a:schemeClr val="bg1"/>
              </a:solid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工作表.xls]Sheet3'!$F$11:$F$18</c:f>
              <c:strCache>
                <c:ptCount val="8"/>
                <c:pt idx="0">
                  <c:v>一般公共服务</c:v>
                </c:pt>
                <c:pt idx="1">
                  <c:v>文化旅游体育与传媒</c:v>
                </c:pt>
                <c:pt idx="2">
                  <c:v>社会保障和就业</c:v>
                </c:pt>
                <c:pt idx="3">
                  <c:v>卫生健康</c:v>
                </c:pt>
                <c:pt idx="4">
                  <c:v>城乡社区</c:v>
                </c:pt>
                <c:pt idx="5">
                  <c:v>农林水</c:v>
                </c:pt>
                <c:pt idx="6">
                  <c:v>住房保障</c:v>
                </c:pt>
                <c:pt idx="7">
                  <c:v>灾害防治及应急管理</c:v>
                </c:pt>
              </c:strCache>
            </c:strRef>
          </c:cat>
          <c:val>
            <c:numRef>
              <c:f>'[新建 XLS 工作表.xls]Sheet3'!$H$11:$H$18</c:f>
              <c:numCache>
                <c:formatCode>0.00%</c:formatCode>
                <c:ptCount val="8"/>
                <c:pt idx="0">
                  <c:v>0.4748</c:v>
                </c:pt>
                <c:pt idx="1">
                  <c:v>0.000900000000000001</c:v>
                </c:pt>
                <c:pt idx="2">
                  <c:v>0.0899000000000001</c:v>
                </c:pt>
                <c:pt idx="3">
                  <c:v>0.0251</c:v>
                </c:pt>
                <c:pt idx="4">
                  <c:v>0.00520000000000001</c:v>
                </c:pt>
                <c:pt idx="5">
                  <c:v>0.351</c:v>
                </c:pt>
                <c:pt idx="6">
                  <c:v>0.0473000000000001</c:v>
                </c:pt>
                <c:pt idx="7">
                  <c:v>0.0058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rPr lang="en-US" altLang="zh-CN"/>
              <a:t>2022</a:t>
            </a:r>
            <a:r>
              <a:rPr altLang="en-US"/>
              <a:t>年</a:t>
            </a:r>
            <a:r>
              <a:rPr lang="en-US" altLang="zh-CN"/>
              <a:t>“</a:t>
            </a:r>
            <a:r>
              <a:rPr altLang="en-US"/>
              <a:t>三公</a:t>
            </a:r>
            <a:r>
              <a:rPr lang="en-US" altLang="zh-CN"/>
              <a:t>”</a:t>
            </a:r>
            <a:r>
              <a:rPr altLang="en-US"/>
              <a:t>经费财政拨款</a:t>
            </a:r>
            <a:endParaRPr altLang="en-US"/>
          </a:p>
        </c:rich>
      </c:tx>
      <c:layout/>
      <c:overlay val="0"/>
      <c:spPr>
        <a:noFill/>
        <a:ln>
          <a:noFill/>
        </a:ln>
        <a:effectLst/>
      </c:spPr>
    </c:title>
    <c:autoTitleDeleted val="0"/>
    <c:plotArea>
      <c:layout/>
      <c:pieChart>
        <c:varyColors val="1"/>
        <c:ser>
          <c:idx val="0"/>
          <c:order val="0"/>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r>
                      <a:rPr lang="en-US" altLang="zh-CN"/>
                      <a:t>16.01</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dLbl>
              <c:idx val="2"/>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工作表.xls]Sheet4'!$L$28:$L$30</c:f>
              <c:strCache>
                <c:ptCount val="3"/>
                <c:pt idx="0">
                  <c:v>公务接待费</c:v>
                </c:pt>
                <c:pt idx="1">
                  <c:v>因公出国（境）费</c:v>
                </c:pt>
                <c:pt idx="2">
                  <c:v>公务用车及购置维护费</c:v>
                </c:pt>
              </c:strCache>
            </c:strRef>
          </c:cat>
          <c:val>
            <c:numRef>
              <c:f>'[新建 XLS 工作表.xls]Sheet4'!$M$28:$M$30</c:f>
              <c:numCache>
                <c:formatCode>0%</c:formatCode>
                <c:ptCount val="3"/>
                <c:pt idx="0">
                  <c:v>1</c:v>
                </c:pt>
                <c:pt idx="1" c:formatCode="General">
                  <c:v>0</c:v>
                </c:pt>
                <c:pt idx="2" c:formatCode="General">
                  <c:v>0</c:v>
                </c:pt>
              </c:numCache>
            </c:numRef>
          </c:val>
        </c:ser>
        <c:ser>
          <c:idx val="1"/>
          <c:order val="1"/>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 工作表.xls]Sheet4'!$L$28:$L$30</c:f>
              <c:strCache>
                <c:ptCount val="3"/>
                <c:pt idx="0">
                  <c:v>公务接待费</c:v>
                </c:pt>
                <c:pt idx="1">
                  <c:v>因公出国（境）费</c:v>
                </c:pt>
                <c:pt idx="2">
                  <c:v>公务用车及购置维护费</c:v>
                </c:pt>
              </c:strCache>
            </c:strRef>
          </c:cat>
          <c:val>
            <c:numRef>
              <c:f>'[新建 XLS 工作表.xls]Sheet4'!$N$28:$N$30</c:f>
              <c:numCache>
                <c:formatCode>General</c:formatCode>
                <c:ptCount val="3"/>
                <c:pt idx="0">
                  <c:v>16.01</c:v>
                </c:pt>
                <c:pt idx="1">
                  <c:v>0</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62</Pages>
  <Words>3948</Words>
  <Characters>22510</Characters>
  <Lines>187</Lines>
  <Paragraphs>52</Paragraphs>
  <TotalTime>257</TotalTime>
  <ScaleCrop>false</ScaleCrop>
  <LinksUpToDate>false</LinksUpToDate>
  <CharactersWithSpaces>26406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2023-10-13T13:01:00Z</dcterms:created>
  <dc:creator>Administrator</dc:creator>
  <cp:lastModifiedBy>雨季</cp:lastModifiedBy>
  <dcterms:modified xsi:type="dcterms:W3CDTF">2023-10-16T07:38:27Z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21759ECA9FE944688745752500C74584_13</vt:lpwstr>
  </property>
</Properties>
</file>