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eastAsia" w:ascii="方正小标宋简体" w:hAnsi="宋体" w:eastAsia="方正小标宋简体"/>
          <w:sz w:val="30"/>
          <w:szCs w:val="30"/>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宋体" w:eastAsia="方正小标宋简体"/>
          <w:sz w:val="72"/>
          <w:szCs w:val="72"/>
        </w:rPr>
      </w:pPr>
      <w:bookmarkStart w:id="1" w:name="_Toc15396475"/>
      <w:bookmarkStart w:id="2" w:name="_Toc15378441"/>
      <w:bookmarkStart w:id="3" w:name="_Toc15377193"/>
      <w:bookmarkStart w:id="4" w:name="_Toc15377425"/>
      <w:bookmarkStart w:id="5" w:name="_Toc15396597"/>
      <w:bookmarkStart w:id="6" w:name="_Toc7152"/>
      <w:r>
        <w:rPr>
          <w:rFonts w:ascii="黑体" w:hAnsi="黑体" w:eastAsia="黑体"/>
          <w:sz w:val="72"/>
          <w:szCs w:val="72"/>
        </w:rPr>
        <w:t>2021</w:t>
      </w:r>
      <w:r>
        <w:rPr>
          <w:rFonts w:hint="eastAsia" w:ascii="方正小标宋简体" w:hAnsi="宋体" w:eastAsia="方正小标宋简体"/>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sz w:val="72"/>
          <w:szCs w:val="72"/>
        </w:rPr>
        <w:sectPr>
          <w:footerReference r:id="rId3" w:type="default"/>
          <w:pgSz w:w="11906" w:h="16838"/>
          <w:pgMar w:top="1440" w:right="1800" w:bottom="1440" w:left="1800" w:header="851" w:footer="992" w:gutter="0"/>
          <w:cols w:space="425" w:num="1"/>
          <w:docGrid w:type="lines" w:linePitch="312" w:charSpace="0"/>
        </w:sectPr>
      </w:pPr>
      <w:bookmarkStart w:id="7" w:name="_Toc15378442"/>
      <w:bookmarkStart w:id="8" w:name="_Toc15396476"/>
      <w:bookmarkStart w:id="9" w:name="_Toc15396598"/>
      <w:bookmarkStart w:id="10" w:name="_Toc17615"/>
      <w:bookmarkStart w:id="11" w:name="_Toc15377194"/>
      <w:bookmarkStart w:id="12" w:name="_Toc15377426"/>
      <w:r>
        <w:rPr>
          <w:rFonts w:hint="eastAsia" w:ascii="方正小标宋简体" w:hAnsi="宋体" w:eastAsia="方正小标宋简体"/>
          <w:sz w:val="72"/>
          <w:szCs w:val="72"/>
        </w:rPr>
        <w:t>四川省</w:t>
      </w:r>
      <w:bookmarkEnd w:id="0"/>
      <w:bookmarkStart w:id="13" w:name="_Toc15306268"/>
      <w:r>
        <w:rPr>
          <w:rFonts w:hint="eastAsia" w:ascii="方正小标宋简体" w:hAnsi="宋体" w:eastAsia="方正小标宋简体"/>
          <w:sz w:val="72"/>
          <w:szCs w:val="72"/>
        </w:rPr>
        <w:t>广元市昭化区青牛镇人民政府部门决算</w:t>
      </w:r>
      <w:bookmarkEnd w:id="7"/>
      <w:bookmarkEnd w:id="8"/>
      <w:bookmarkEnd w:id="9"/>
      <w:bookmarkEnd w:id="10"/>
      <w:bookmarkEnd w:id="11"/>
      <w:bookmarkEnd w:id="12"/>
      <w:bookmarkEnd w:id="13"/>
    </w:p>
    <w:p>
      <w:pPr>
        <w:pStyle w:val="2"/>
        <w:rPr>
          <w:color w:val="auto"/>
        </w:r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sz w:val="28"/>
          <w:szCs w:val="28"/>
        </w:rPr>
      </w:pPr>
    </w:p>
    <w:p>
      <w:pPr>
        <w:pStyle w:val="8"/>
      </w:pPr>
      <w:r>
        <w:rPr>
          <w:rFonts w:hint="eastAsia"/>
        </w:rPr>
        <w:t>公开时间：</w:t>
      </w:r>
      <w:r>
        <w:t>202</w:t>
      </w:r>
      <w:r>
        <w:rPr>
          <w:rFonts w:hint="eastAsia"/>
        </w:rPr>
        <w:t>2年9月30日</w:t>
      </w:r>
    </w:p>
    <w:p/>
    <w:p>
      <w:pPr>
        <w:pStyle w:val="8"/>
        <w:tabs>
          <w:tab w:val="right" w:leader="dot" w:pos="8306"/>
          <w:tab w:val="clear" w:pos="8296"/>
        </w:tabs>
      </w:pPr>
      <w:r>
        <w:fldChar w:fldCharType="begin"/>
      </w:r>
      <w:r>
        <w:instrText xml:space="preserve">TOC \o "1-2" \h \u </w:instrText>
      </w:r>
      <w:r>
        <w:fldChar w:fldCharType="separate"/>
      </w:r>
      <w:r>
        <w:fldChar w:fldCharType="begin"/>
      </w:r>
      <w:r>
        <w:instrText xml:space="preserve"> HYPERLINK \l "_Toc28365" </w:instrText>
      </w:r>
      <w:r>
        <w:fldChar w:fldCharType="separate"/>
      </w:r>
      <w:r>
        <w:t>第一部分部门概况</w:t>
      </w:r>
      <w:r>
        <w:tab/>
      </w:r>
      <w:r>
        <w:fldChar w:fldCharType="begin"/>
      </w:r>
      <w:r>
        <w:instrText xml:space="preserve"> PAGEREF _Toc28365 \h </w:instrText>
      </w:r>
      <w:r>
        <w:fldChar w:fldCharType="separate"/>
      </w:r>
      <w:r>
        <w:t>4</w:t>
      </w:r>
      <w:r>
        <w:fldChar w:fldCharType="end"/>
      </w:r>
      <w:r>
        <w:fldChar w:fldCharType="end"/>
      </w:r>
    </w:p>
    <w:p>
      <w:pPr>
        <w:pStyle w:val="9"/>
        <w:tabs>
          <w:tab w:val="right" w:leader="dot" w:pos="8306"/>
          <w:tab w:val="clear" w:pos="8296"/>
        </w:tabs>
      </w:pPr>
      <w:r>
        <w:fldChar w:fldCharType="begin"/>
      </w:r>
      <w:r>
        <w:instrText xml:space="preserve"> HYPERLINK \l "_Toc3317" </w:instrText>
      </w:r>
      <w:r>
        <w:fldChar w:fldCharType="separate"/>
      </w:r>
      <w:r>
        <w:t>一、基本职能及主要工作</w:t>
      </w:r>
      <w:r>
        <w:tab/>
      </w:r>
      <w:r>
        <w:fldChar w:fldCharType="begin"/>
      </w:r>
      <w:r>
        <w:instrText xml:space="preserve"> PAGEREF _Toc3317 \h </w:instrText>
      </w:r>
      <w:r>
        <w:fldChar w:fldCharType="separate"/>
      </w:r>
      <w:r>
        <w:t>4</w:t>
      </w:r>
      <w:r>
        <w:fldChar w:fldCharType="end"/>
      </w:r>
      <w:r>
        <w:fldChar w:fldCharType="end"/>
      </w:r>
    </w:p>
    <w:p>
      <w:pPr>
        <w:pStyle w:val="9"/>
        <w:tabs>
          <w:tab w:val="right" w:leader="dot" w:pos="8306"/>
          <w:tab w:val="clear" w:pos="8296"/>
        </w:tabs>
      </w:pPr>
      <w:r>
        <w:fldChar w:fldCharType="begin"/>
      </w:r>
      <w:r>
        <w:instrText xml:space="preserve"> HYPERLINK \l "_Toc68" </w:instrText>
      </w:r>
      <w:r>
        <w:fldChar w:fldCharType="separate"/>
      </w:r>
      <w:r>
        <w:rPr>
          <w:rFonts w:ascii="Arial" w:hAnsi="Arial"/>
        </w:rPr>
        <w:t>二、机构设置</w:t>
      </w:r>
      <w:r>
        <w:tab/>
      </w:r>
      <w:r>
        <w:fldChar w:fldCharType="begin"/>
      </w:r>
      <w:r>
        <w:instrText xml:space="preserve"> PAGEREF _Toc68 \h </w:instrText>
      </w:r>
      <w:r>
        <w:fldChar w:fldCharType="separate"/>
      </w:r>
      <w:r>
        <w:t>9</w:t>
      </w:r>
      <w:r>
        <w:fldChar w:fldCharType="end"/>
      </w:r>
      <w:r>
        <w:fldChar w:fldCharType="end"/>
      </w:r>
    </w:p>
    <w:p>
      <w:pPr>
        <w:pStyle w:val="8"/>
        <w:tabs>
          <w:tab w:val="right" w:leader="dot" w:pos="8306"/>
          <w:tab w:val="clear" w:pos="8296"/>
        </w:tabs>
      </w:pPr>
      <w:r>
        <w:fldChar w:fldCharType="begin"/>
      </w:r>
      <w:r>
        <w:instrText xml:space="preserve"> HYPERLINK \l "_Toc5744" </w:instrText>
      </w:r>
      <w:r>
        <w:fldChar w:fldCharType="separate"/>
      </w:r>
      <w:r>
        <w:t>第二部分2021年度部门决算情况说明</w:t>
      </w:r>
      <w:r>
        <w:tab/>
      </w:r>
      <w:r>
        <w:fldChar w:fldCharType="begin"/>
      </w:r>
      <w:r>
        <w:instrText xml:space="preserve"> PAGEREF _Toc5744 \h </w:instrText>
      </w:r>
      <w:r>
        <w:fldChar w:fldCharType="separate"/>
      </w:r>
      <w:r>
        <w:t>9</w:t>
      </w:r>
      <w:r>
        <w:fldChar w:fldCharType="end"/>
      </w:r>
      <w:r>
        <w:fldChar w:fldCharType="end"/>
      </w:r>
    </w:p>
    <w:p>
      <w:pPr>
        <w:pStyle w:val="9"/>
        <w:tabs>
          <w:tab w:val="right" w:leader="dot" w:pos="8306"/>
          <w:tab w:val="clear" w:pos="8296"/>
        </w:tabs>
      </w:pPr>
      <w:r>
        <w:fldChar w:fldCharType="begin"/>
      </w:r>
      <w:r>
        <w:instrText xml:space="preserve"> HYPERLINK \l "_Toc14160" </w:instrText>
      </w:r>
      <w:r>
        <w:fldChar w:fldCharType="separate"/>
      </w:r>
      <w:r>
        <w:rPr>
          <w:rFonts w:ascii="Arial" w:hAnsi="Arial"/>
        </w:rPr>
        <w:t>一、收入支出决算总体情况说明</w:t>
      </w:r>
      <w:r>
        <w:tab/>
      </w:r>
      <w:r>
        <w:fldChar w:fldCharType="begin"/>
      </w:r>
      <w:r>
        <w:instrText xml:space="preserve"> PAGEREF _Toc14160 \h </w:instrText>
      </w:r>
      <w:r>
        <w:fldChar w:fldCharType="separate"/>
      </w:r>
      <w:r>
        <w:t>9</w:t>
      </w:r>
      <w:r>
        <w:fldChar w:fldCharType="end"/>
      </w:r>
      <w:r>
        <w:fldChar w:fldCharType="end"/>
      </w:r>
    </w:p>
    <w:p>
      <w:pPr>
        <w:pStyle w:val="9"/>
        <w:tabs>
          <w:tab w:val="right" w:leader="dot" w:pos="8306"/>
          <w:tab w:val="clear" w:pos="8296"/>
        </w:tabs>
      </w:pPr>
      <w:r>
        <w:fldChar w:fldCharType="begin"/>
      </w:r>
      <w:r>
        <w:instrText xml:space="preserve"> HYPERLINK \l "_Toc20339" </w:instrText>
      </w:r>
      <w:r>
        <w:fldChar w:fldCharType="separate"/>
      </w:r>
      <w:r>
        <w:rPr>
          <w:rFonts w:ascii="Arial" w:hAnsi="Arial"/>
        </w:rPr>
        <w:t>二、收入决算情况说明</w:t>
      </w:r>
      <w:r>
        <w:tab/>
      </w:r>
      <w:r>
        <w:fldChar w:fldCharType="begin"/>
      </w:r>
      <w:r>
        <w:instrText xml:space="preserve"> PAGEREF _Toc20339 \h </w:instrText>
      </w:r>
      <w:r>
        <w:fldChar w:fldCharType="separate"/>
      </w:r>
      <w:r>
        <w:t>9</w:t>
      </w:r>
      <w:r>
        <w:fldChar w:fldCharType="end"/>
      </w:r>
      <w:r>
        <w:fldChar w:fldCharType="end"/>
      </w:r>
    </w:p>
    <w:p>
      <w:pPr>
        <w:pStyle w:val="9"/>
        <w:tabs>
          <w:tab w:val="right" w:leader="dot" w:pos="8306"/>
          <w:tab w:val="clear" w:pos="8296"/>
        </w:tabs>
      </w:pPr>
      <w:r>
        <w:fldChar w:fldCharType="begin"/>
      </w:r>
      <w:r>
        <w:instrText xml:space="preserve"> HYPERLINK \l "_Toc26610" </w:instrText>
      </w:r>
      <w:r>
        <w:fldChar w:fldCharType="separate"/>
      </w:r>
      <w:r>
        <w:rPr>
          <w:rFonts w:ascii="Arial" w:hAnsi="Arial"/>
        </w:rPr>
        <w:t>三、支出决算情况说明</w:t>
      </w:r>
      <w:r>
        <w:tab/>
      </w:r>
      <w:r>
        <w:fldChar w:fldCharType="begin"/>
      </w:r>
      <w:r>
        <w:instrText xml:space="preserve"> PAGEREF _Toc26610 \h </w:instrText>
      </w:r>
      <w:r>
        <w:fldChar w:fldCharType="separate"/>
      </w:r>
      <w:r>
        <w:t>10</w:t>
      </w:r>
      <w:r>
        <w:fldChar w:fldCharType="end"/>
      </w:r>
      <w:r>
        <w:fldChar w:fldCharType="end"/>
      </w:r>
    </w:p>
    <w:p>
      <w:pPr>
        <w:pStyle w:val="9"/>
        <w:tabs>
          <w:tab w:val="right" w:leader="dot" w:pos="8306"/>
          <w:tab w:val="clear" w:pos="8296"/>
        </w:tabs>
      </w:pPr>
      <w:r>
        <w:fldChar w:fldCharType="begin"/>
      </w:r>
      <w:r>
        <w:instrText xml:space="preserve"> HYPERLINK \l "_Toc18476" </w:instrText>
      </w:r>
      <w:r>
        <w:fldChar w:fldCharType="separate"/>
      </w:r>
      <w:r>
        <w:rPr>
          <w:rFonts w:ascii="Arial" w:hAnsi="Arial"/>
        </w:rPr>
        <w:t>四、财政拨款收入支出决算总体情况说明</w:t>
      </w:r>
      <w:r>
        <w:tab/>
      </w:r>
      <w:r>
        <w:fldChar w:fldCharType="begin"/>
      </w:r>
      <w:r>
        <w:instrText xml:space="preserve"> PAGEREF _Toc18476 \h </w:instrText>
      </w:r>
      <w:r>
        <w:fldChar w:fldCharType="separate"/>
      </w:r>
      <w:r>
        <w:t>10</w:t>
      </w:r>
      <w:r>
        <w:fldChar w:fldCharType="end"/>
      </w:r>
      <w:r>
        <w:fldChar w:fldCharType="end"/>
      </w:r>
    </w:p>
    <w:p>
      <w:pPr>
        <w:pStyle w:val="9"/>
        <w:tabs>
          <w:tab w:val="right" w:leader="dot" w:pos="8306"/>
          <w:tab w:val="clear" w:pos="8296"/>
        </w:tabs>
      </w:pPr>
      <w:r>
        <w:fldChar w:fldCharType="begin"/>
      </w:r>
      <w:r>
        <w:instrText xml:space="preserve"> HYPERLINK \l "_Toc1292" </w:instrText>
      </w:r>
      <w:r>
        <w:fldChar w:fldCharType="separate"/>
      </w:r>
      <w:r>
        <w:rPr>
          <w:rFonts w:ascii="Arial" w:hAnsi="Arial"/>
        </w:rPr>
        <w:t>五、一般公共预算财政拨款支出决算情况说明</w:t>
      </w:r>
      <w:r>
        <w:tab/>
      </w:r>
      <w:r>
        <w:fldChar w:fldCharType="begin"/>
      </w:r>
      <w:r>
        <w:instrText xml:space="preserve"> PAGEREF _Toc1292 \h </w:instrText>
      </w:r>
      <w:r>
        <w:fldChar w:fldCharType="separate"/>
      </w:r>
      <w:r>
        <w:t>10</w:t>
      </w:r>
      <w:r>
        <w:fldChar w:fldCharType="end"/>
      </w:r>
      <w:r>
        <w:fldChar w:fldCharType="end"/>
      </w:r>
    </w:p>
    <w:p>
      <w:pPr>
        <w:pStyle w:val="9"/>
        <w:tabs>
          <w:tab w:val="right" w:leader="dot" w:pos="8306"/>
          <w:tab w:val="clear" w:pos="8296"/>
        </w:tabs>
      </w:pPr>
      <w:r>
        <w:fldChar w:fldCharType="begin"/>
      </w:r>
      <w:r>
        <w:instrText xml:space="preserve"> HYPERLINK \l "_Toc26042" </w:instrText>
      </w:r>
      <w:r>
        <w:fldChar w:fldCharType="separate"/>
      </w:r>
      <w:r>
        <w:rPr>
          <w:rFonts w:ascii="Arial" w:hAnsi="Arial"/>
        </w:rPr>
        <w:t>六、一般公共预算财政拨款基本支出决算情况说明</w:t>
      </w:r>
      <w:r>
        <w:tab/>
      </w:r>
      <w:r>
        <w:fldChar w:fldCharType="begin"/>
      </w:r>
      <w:r>
        <w:instrText xml:space="preserve"> PAGEREF _Toc26042 \h </w:instrText>
      </w:r>
      <w:r>
        <w:fldChar w:fldCharType="separate"/>
      </w:r>
      <w:r>
        <w:t>11</w:t>
      </w:r>
      <w:r>
        <w:fldChar w:fldCharType="end"/>
      </w:r>
      <w:r>
        <w:fldChar w:fldCharType="end"/>
      </w:r>
    </w:p>
    <w:p>
      <w:pPr>
        <w:pStyle w:val="9"/>
        <w:tabs>
          <w:tab w:val="right" w:leader="dot" w:pos="8306"/>
          <w:tab w:val="clear" w:pos="8296"/>
        </w:tabs>
      </w:pPr>
      <w:r>
        <w:fldChar w:fldCharType="begin"/>
      </w:r>
      <w:r>
        <w:instrText xml:space="preserve"> HYPERLINK \l "_Toc11764" </w:instrText>
      </w:r>
      <w:r>
        <w:fldChar w:fldCharType="separate"/>
      </w:r>
      <w:r>
        <w:rPr>
          <w:rFonts w:ascii="Arial" w:hAnsi="Arial"/>
        </w:rPr>
        <w:t>七、“三公”经费财政拨款支出决算情况说明</w:t>
      </w:r>
      <w:r>
        <w:tab/>
      </w:r>
      <w:r>
        <w:fldChar w:fldCharType="begin"/>
      </w:r>
      <w:r>
        <w:instrText xml:space="preserve"> PAGEREF _Toc11764 \h </w:instrText>
      </w:r>
      <w:r>
        <w:fldChar w:fldCharType="separate"/>
      </w:r>
      <w:r>
        <w:t>12</w:t>
      </w:r>
      <w:r>
        <w:fldChar w:fldCharType="end"/>
      </w:r>
      <w:r>
        <w:fldChar w:fldCharType="end"/>
      </w:r>
    </w:p>
    <w:p>
      <w:pPr>
        <w:pStyle w:val="9"/>
        <w:tabs>
          <w:tab w:val="right" w:leader="dot" w:pos="8306"/>
          <w:tab w:val="clear" w:pos="8296"/>
        </w:tabs>
      </w:pPr>
      <w:r>
        <w:fldChar w:fldCharType="begin"/>
      </w:r>
      <w:r>
        <w:instrText xml:space="preserve"> HYPERLINK \l "_Toc17894" </w:instrText>
      </w:r>
      <w:r>
        <w:fldChar w:fldCharType="separate"/>
      </w:r>
      <w:r>
        <w:rPr>
          <w:rFonts w:ascii="Arial" w:hAnsi="Arial"/>
        </w:rPr>
        <w:t>八、政府性基金预算支出决算情况说明</w:t>
      </w:r>
      <w:r>
        <w:tab/>
      </w:r>
      <w:r>
        <w:fldChar w:fldCharType="begin"/>
      </w:r>
      <w:r>
        <w:instrText xml:space="preserve"> PAGEREF _Toc17894 \h </w:instrText>
      </w:r>
      <w:r>
        <w:fldChar w:fldCharType="separate"/>
      </w:r>
      <w:r>
        <w:t>14</w:t>
      </w:r>
      <w:r>
        <w:fldChar w:fldCharType="end"/>
      </w:r>
      <w:r>
        <w:fldChar w:fldCharType="end"/>
      </w:r>
    </w:p>
    <w:p>
      <w:pPr>
        <w:pStyle w:val="9"/>
        <w:tabs>
          <w:tab w:val="right" w:leader="dot" w:pos="8306"/>
          <w:tab w:val="clear" w:pos="8296"/>
        </w:tabs>
      </w:pPr>
      <w:r>
        <w:fldChar w:fldCharType="begin"/>
      </w:r>
      <w:r>
        <w:instrText xml:space="preserve"> HYPERLINK \l "_Toc24032" </w:instrText>
      </w:r>
      <w:r>
        <w:fldChar w:fldCharType="separate"/>
      </w:r>
      <w:r>
        <w:rPr>
          <w:rFonts w:ascii="Arial" w:hAnsi="Arial"/>
        </w:rPr>
        <w:t>九、国有资本经营预算支出决算情况说明</w:t>
      </w:r>
      <w:r>
        <w:tab/>
      </w:r>
      <w:r>
        <w:fldChar w:fldCharType="begin"/>
      </w:r>
      <w:r>
        <w:instrText xml:space="preserve"> PAGEREF _Toc24032 \h </w:instrText>
      </w:r>
      <w:r>
        <w:fldChar w:fldCharType="separate"/>
      </w:r>
      <w:r>
        <w:t>14</w:t>
      </w:r>
      <w:r>
        <w:fldChar w:fldCharType="end"/>
      </w:r>
      <w:r>
        <w:fldChar w:fldCharType="end"/>
      </w:r>
    </w:p>
    <w:p>
      <w:pPr>
        <w:pStyle w:val="9"/>
        <w:tabs>
          <w:tab w:val="right" w:leader="dot" w:pos="8306"/>
          <w:tab w:val="clear" w:pos="8296"/>
        </w:tabs>
      </w:pPr>
      <w:r>
        <w:fldChar w:fldCharType="begin"/>
      </w:r>
      <w:r>
        <w:instrText xml:space="preserve"> HYPERLINK \l "_Toc8567" </w:instrText>
      </w:r>
      <w:r>
        <w:fldChar w:fldCharType="separate"/>
      </w:r>
      <w:r>
        <w:rPr>
          <w:rFonts w:ascii="Arial" w:hAnsi="Arial"/>
          <w:szCs w:val="30"/>
        </w:rPr>
        <w:t>十、预算绩效情况说明</w:t>
      </w:r>
      <w:r>
        <w:tab/>
      </w:r>
      <w:r>
        <w:fldChar w:fldCharType="begin"/>
      </w:r>
      <w:r>
        <w:instrText xml:space="preserve"> PAGEREF _Toc8567 \h </w:instrText>
      </w:r>
      <w:r>
        <w:fldChar w:fldCharType="separate"/>
      </w:r>
      <w:r>
        <w:t>14</w:t>
      </w:r>
      <w:r>
        <w:fldChar w:fldCharType="end"/>
      </w:r>
      <w:r>
        <w:fldChar w:fldCharType="end"/>
      </w:r>
    </w:p>
    <w:p>
      <w:pPr>
        <w:pStyle w:val="9"/>
        <w:tabs>
          <w:tab w:val="right" w:leader="dot" w:pos="8306"/>
          <w:tab w:val="clear" w:pos="8296"/>
        </w:tabs>
      </w:pPr>
      <w:r>
        <w:fldChar w:fldCharType="begin"/>
      </w:r>
      <w:r>
        <w:instrText xml:space="preserve"> HYPERLINK \l "_Toc29519" </w:instrText>
      </w:r>
      <w:r>
        <w:fldChar w:fldCharType="separate"/>
      </w:r>
      <w:r>
        <w:rPr>
          <w:rFonts w:ascii="Arial" w:hAnsi="Arial"/>
          <w:szCs w:val="30"/>
        </w:rPr>
        <w:t>十一、其他重要事项的情况说明</w:t>
      </w:r>
      <w:r>
        <w:tab/>
      </w:r>
      <w:r>
        <w:fldChar w:fldCharType="begin"/>
      </w:r>
      <w:r>
        <w:instrText xml:space="preserve"> PAGEREF _Toc29519 \h </w:instrText>
      </w:r>
      <w:r>
        <w:fldChar w:fldCharType="separate"/>
      </w:r>
      <w:r>
        <w:t>15</w:t>
      </w:r>
      <w:r>
        <w:fldChar w:fldCharType="end"/>
      </w:r>
      <w:r>
        <w:fldChar w:fldCharType="end"/>
      </w:r>
    </w:p>
    <w:p>
      <w:pPr>
        <w:pStyle w:val="8"/>
        <w:tabs>
          <w:tab w:val="right" w:leader="dot" w:pos="8306"/>
          <w:tab w:val="clear" w:pos="8296"/>
        </w:tabs>
      </w:pPr>
      <w:r>
        <w:fldChar w:fldCharType="begin"/>
      </w:r>
      <w:r>
        <w:instrText xml:space="preserve"> HYPERLINK \l "_Toc10847" </w:instrText>
      </w:r>
      <w:r>
        <w:fldChar w:fldCharType="separate"/>
      </w:r>
      <w:r>
        <w:t>第三部分名词解释</w:t>
      </w:r>
      <w:r>
        <w:tab/>
      </w:r>
      <w:r>
        <w:fldChar w:fldCharType="begin"/>
      </w:r>
      <w:r>
        <w:instrText xml:space="preserve"> PAGEREF _Toc10847 \h </w:instrText>
      </w:r>
      <w:r>
        <w:fldChar w:fldCharType="separate"/>
      </w:r>
      <w:r>
        <w:t>16</w:t>
      </w:r>
      <w:r>
        <w:fldChar w:fldCharType="end"/>
      </w:r>
      <w:r>
        <w:fldChar w:fldCharType="end"/>
      </w:r>
    </w:p>
    <w:p>
      <w:pPr>
        <w:pStyle w:val="8"/>
        <w:tabs>
          <w:tab w:val="right" w:leader="dot" w:pos="8306"/>
          <w:tab w:val="clear" w:pos="8296"/>
        </w:tabs>
      </w:pPr>
      <w:r>
        <w:fldChar w:fldCharType="begin"/>
      </w:r>
      <w:r>
        <w:instrText xml:space="preserve"> HYPERLINK \l "_Toc14363" </w:instrText>
      </w:r>
      <w:r>
        <w:fldChar w:fldCharType="separate"/>
      </w:r>
      <w:r>
        <w:t>第四部分附件</w:t>
      </w:r>
      <w:r>
        <w:tab/>
      </w:r>
      <w:r>
        <w:fldChar w:fldCharType="begin"/>
      </w:r>
      <w:r>
        <w:instrText xml:space="preserve"> PAGEREF _Toc14363 \h </w:instrText>
      </w:r>
      <w:r>
        <w:fldChar w:fldCharType="separate"/>
      </w:r>
      <w:r>
        <w:t>18</w:t>
      </w:r>
      <w:r>
        <w:fldChar w:fldCharType="end"/>
      </w:r>
      <w:r>
        <w:fldChar w:fldCharType="end"/>
      </w:r>
    </w:p>
    <w:p>
      <w:pPr>
        <w:pStyle w:val="9"/>
        <w:tabs>
          <w:tab w:val="right" w:leader="dot" w:pos="8306"/>
          <w:tab w:val="clear" w:pos="8296"/>
        </w:tabs>
      </w:pPr>
      <w:r>
        <w:fldChar w:fldCharType="begin"/>
      </w:r>
      <w:r>
        <w:instrText xml:space="preserve"> HYPERLINK \l "_Toc3087" </w:instrText>
      </w:r>
      <w:r>
        <w:fldChar w:fldCharType="separate"/>
      </w:r>
      <w:r>
        <w:rPr>
          <w:rFonts w:ascii="Arial" w:hAnsi="Arial"/>
          <w:szCs w:val="30"/>
        </w:rPr>
        <w:t>附件1</w:t>
      </w:r>
      <w:r>
        <w:tab/>
      </w:r>
      <w:r>
        <w:fldChar w:fldCharType="begin"/>
      </w:r>
      <w:r>
        <w:instrText xml:space="preserve"> PAGEREF _Toc3087 \h </w:instrText>
      </w:r>
      <w:r>
        <w:fldChar w:fldCharType="separate"/>
      </w:r>
      <w:r>
        <w:t>18</w:t>
      </w:r>
      <w:r>
        <w:fldChar w:fldCharType="end"/>
      </w:r>
      <w:r>
        <w:fldChar w:fldCharType="end"/>
      </w:r>
    </w:p>
    <w:p>
      <w:pPr>
        <w:pStyle w:val="8"/>
        <w:tabs>
          <w:tab w:val="right" w:leader="dot" w:pos="8306"/>
          <w:tab w:val="clear" w:pos="8296"/>
        </w:tabs>
      </w:pPr>
      <w:r>
        <w:fldChar w:fldCharType="begin"/>
      </w:r>
      <w:r>
        <w:instrText xml:space="preserve"> HYPERLINK \l "_Toc5863" </w:instrText>
      </w:r>
      <w:r>
        <w:fldChar w:fldCharType="separate"/>
      </w:r>
      <w:r>
        <w:t>第五部分附表</w:t>
      </w:r>
      <w:r>
        <w:tab/>
      </w:r>
      <w:r>
        <w:fldChar w:fldCharType="begin"/>
      </w:r>
      <w:r>
        <w:instrText xml:space="preserve"> PAGEREF _Toc5863 \h </w:instrText>
      </w:r>
      <w:r>
        <w:fldChar w:fldCharType="separate"/>
      </w:r>
      <w:r>
        <w:t>21</w:t>
      </w:r>
      <w:r>
        <w:fldChar w:fldCharType="end"/>
      </w:r>
      <w:r>
        <w:fldChar w:fldCharType="end"/>
      </w:r>
    </w:p>
    <w:p>
      <w:pPr>
        <w:pStyle w:val="9"/>
        <w:tabs>
          <w:tab w:val="right" w:leader="dot" w:pos="8306"/>
          <w:tab w:val="clear" w:pos="8296"/>
        </w:tabs>
      </w:pPr>
      <w:r>
        <w:fldChar w:fldCharType="begin"/>
      </w:r>
      <w:r>
        <w:instrText xml:space="preserve"> HYPERLINK \l "_Toc10167" </w:instrText>
      </w:r>
      <w:r>
        <w:fldChar w:fldCharType="separate"/>
      </w:r>
      <w:r>
        <w:t>一、收入支出决算</w:t>
      </w:r>
      <w:r>
        <w:rPr>
          <w:rFonts w:hint="eastAsia"/>
        </w:rPr>
        <w:t>公开</w:t>
      </w:r>
      <w:r>
        <w:t>总表</w:t>
      </w:r>
      <w:r>
        <w:tab/>
      </w:r>
      <w:r>
        <w:fldChar w:fldCharType="begin"/>
      </w:r>
      <w:r>
        <w:instrText xml:space="preserve"> PAGEREF _Toc10167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"_Toc20720" </w:instrText>
      </w:r>
      <w:r>
        <w:fldChar w:fldCharType="separate"/>
      </w:r>
      <w:r>
        <w:t>二、</w:t>
      </w:r>
      <w:r>
        <w:rPr>
          <w:rFonts w:hint="eastAsia"/>
        </w:rPr>
        <w:t>收入决算公开表</w:t>
      </w:r>
      <w:r>
        <w:tab/>
      </w:r>
      <w:r>
        <w:fldChar w:fldCharType="begin"/>
      </w:r>
      <w:r>
        <w:instrText xml:space="preserve"> PAGEREF _Toc20720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"_Toc13118" </w:instrText>
      </w:r>
      <w:r>
        <w:fldChar w:fldCharType="separate"/>
      </w:r>
      <w:r>
        <w:t>三、</w:t>
      </w:r>
      <w:r>
        <w:rPr>
          <w:rFonts w:hint="eastAsia"/>
        </w:rPr>
        <w:t>支出决算公开表</w:t>
      </w:r>
      <w:r>
        <w:tab/>
      </w:r>
      <w:r>
        <w:fldChar w:fldCharType="begin"/>
      </w:r>
      <w:r>
        <w:instrText xml:space="preserve"> PAGEREF _Toc13118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"_Toc24471" </w:instrText>
      </w:r>
      <w:r>
        <w:fldChar w:fldCharType="separate"/>
      </w:r>
      <w:r>
        <w:t>四、</w:t>
      </w:r>
      <w:r>
        <w:rPr>
          <w:rFonts w:hint="eastAsia"/>
        </w:rPr>
        <w:t>财政拨款收入支出决算公开总表</w:t>
      </w:r>
      <w:r>
        <w:tab/>
      </w:r>
      <w:r>
        <w:fldChar w:fldCharType="begin"/>
      </w:r>
      <w:r>
        <w:instrText xml:space="preserve"> PAGEREF _Toc24471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"_Toc22832" </w:instrText>
      </w:r>
      <w:r>
        <w:fldChar w:fldCharType="separate"/>
      </w:r>
      <w:r>
        <w:t>五、</w:t>
      </w:r>
      <w:r>
        <w:rPr>
          <w:rFonts w:hint="eastAsia"/>
        </w:rPr>
        <w:t>财政拨款支出决算公开明细表</w:t>
      </w:r>
      <w:r>
        <w:tab/>
      </w:r>
      <w:r>
        <w:fldChar w:fldCharType="begin"/>
      </w:r>
      <w:r>
        <w:instrText xml:space="preserve"> PAGEREF _Toc22832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"_Toc18212" </w:instrText>
      </w:r>
      <w:r>
        <w:fldChar w:fldCharType="separate"/>
      </w:r>
      <w:r>
        <w:t>六、</w:t>
      </w:r>
      <w:r>
        <w:rPr>
          <w:rFonts w:hint="eastAsia"/>
        </w:rPr>
        <w:t>一般公共预算财政拨款支出决算公开表</w:t>
      </w:r>
      <w:r>
        <w:tab/>
      </w:r>
      <w:r>
        <w:fldChar w:fldCharType="begin"/>
      </w:r>
      <w:r>
        <w:instrText xml:space="preserve"> PAGEREF _Toc18212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"_Toc10494" </w:instrText>
      </w:r>
      <w:r>
        <w:fldChar w:fldCharType="separate"/>
      </w:r>
      <w:r>
        <w:t>七、</w:t>
      </w:r>
      <w:r>
        <w:rPr>
          <w:rFonts w:hint="eastAsia"/>
        </w:rPr>
        <w:t xml:space="preserve"> 一般公共预算财政拨款支出决算公开明细表</w:t>
      </w:r>
      <w:r>
        <w:tab/>
      </w:r>
      <w:r>
        <w:fldChar w:fldCharType="begin"/>
      </w:r>
      <w:r>
        <w:instrText xml:space="preserve"> PAGEREF _Toc10494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"_Toc3201" </w:instrText>
      </w:r>
      <w:r>
        <w:fldChar w:fldCharType="separate"/>
      </w:r>
      <w:r>
        <w:t>八、</w:t>
      </w:r>
      <w:r>
        <w:rPr>
          <w:rFonts w:hint="eastAsia"/>
        </w:rPr>
        <w:t>一般公共预算财政拨款基本支出决算公开表</w:t>
      </w:r>
      <w:r>
        <w:tab/>
      </w:r>
      <w:r>
        <w:fldChar w:fldCharType="begin"/>
      </w:r>
      <w:r>
        <w:instrText xml:space="preserve"> PAGEREF _Toc3201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"_Toc25142" </w:instrText>
      </w:r>
      <w:r>
        <w:fldChar w:fldCharType="separate"/>
      </w:r>
      <w:r>
        <w:t>九、</w:t>
      </w:r>
      <w:r>
        <w:rPr>
          <w:rFonts w:hint="eastAsia"/>
        </w:rPr>
        <w:t xml:space="preserve"> 一般公共预算财政拨款项目支出决算公开表</w:t>
      </w:r>
      <w:r>
        <w:tab/>
      </w:r>
      <w:r>
        <w:fldChar w:fldCharType="begin"/>
      </w:r>
      <w:r>
        <w:instrText xml:space="preserve"> PAGEREF _Toc25142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"_Toc19978" </w:instrText>
      </w:r>
      <w:r>
        <w:fldChar w:fldCharType="separate"/>
      </w:r>
      <w:r>
        <w:t>十、</w:t>
      </w:r>
      <w:r>
        <w:rPr>
          <w:rFonts w:hint="eastAsia"/>
        </w:rPr>
        <w:t>一般公共预算财政拨款“三公”经费支出决算公开表</w:t>
      </w:r>
      <w:r>
        <w:tab/>
      </w:r>
      <w:r>
        <w:fldChar w:fldCharType="begin"/>
      </w:r>
      <w:r>
        <w:instrText xml:space="preserve"> PAGEREF _Toc19978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"_Toc15018" </w:instrText>
      </w:r>
      <w:r>
        <w:fldChar w:fldCharType="separate"/>
      </w:r>
      <w:r>
        <w:t>十一、</w:t>
      </w:r>
      <w:r>
        <w:rPr>
          <w:rFonts w:hint="eastAsia"/>
        </w:rPr>
        <w:t xml:space="preserve"> 政府性基金预算财政拨款收入支出决算公开表</w:t>
      </w:r>
      <w:r>
        <w:tab/>
      </w:r>
      <w:r>
        <w:fldChar w:fldCharType="begin"/>
      </w:r>
      <w:r>
        <w:instrText xml:space="preserve"> PAGEREF _Toc15018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"_Toc16291" </w:instrText>
      </w:r>
      <w:r>
        <w:fldChar w:fldCharType="separate"/>
      </w:r>
      <w:r>
        <w:t>十二、</w:t>
      </w:r>
      <w:r>
        <w:rPr>
          <w:rFonts w:hint="eastAsia"/>
        </w:rPr>
        <w:t xml:space="preserve"> 政府性基金预算财政拨款“三公”经费支出决算公开表</w:t>
      </w:r>
      <w:r>
        <w:tab/>
      </w:r>
      <w:r>
        <w:fldChar w:fldCharType="begin"/>
      </w:r>
      <w:r>
        <w:instrText xml:space="preserve"> PAGEREF _Toc16291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"_Toc32412" </w:instrText>
      </w:r>
      <w:r>
        <w:fldChar w:fldCharType="separate"/>
      </w:r>
      <w:r>
        <w:t>十三、</w:t>
      </w:r>
      <w:r>
        <w:rPr>
          <w:rFonts w:hint="eastAsia"/>
        </w:rPr>
        <w:t>国有资本经营预算财政拨款收入支出决算公开表</w:t>
      </w:r>
      <w:r>
        <w:tab/>
      </w:r>
      <w:r>
        <w:fldChar w:fldCharType="begin"/>
      </w:r>
      <w:r>
        <w:instrText xml:space="preserve"> PAGEREF _Toc32412 \h </w:instrText>
      </w:r>
      <w:r>
        <w:fldChar w:fldCharType="separate"/>
      </w:r>
      <w:r>
        <w:t>22</w:t>
      </w:r>
      <w:r>
        <w:fldChar w:fldCharType="end"/>
      </w:r>
      <w:r>
        <w:fldChar w:fldCharType="end"/>
      </w:r>
    </w:p>
    <w:p>
      <w:pPr>
        <w:pStyle w:val="9"/>
        <w:tabs>
          <w:tab w:val="right" w:leader="dot" w:pos="8306"/>
          <w:tab w:val="clear" w:pos="8296"/>
        </w:tabs>
      </w:pPr>
      <w:r>
        <w:fldChar w:fldCharType="begin"/>
      </w:r>
      <w:r>
        <w:instrText xml:space="preserve"> HYPERLINK \l "_Toc3249" </w:instrText>
      </w:r>
      <w:r>
        <w:fldChar w:fldCharType="separate"/>
      </w:r>
      <w:r>
        <w:rPr>
          <w:rFonts w:hint="eastAsia"/>
        </w:rPr>
        <w:t>十四、国有资本经营预算财政拨款支出决算公开表</w:t>
      </w:r>
      <w:r>
        <w:tab/>
      </w:r>
      <w:r>
        <w:fldChar w:fldCharType="begin"/>
      </w:r>
      <w:r>
        <w:instrText xml:space="preserve"> PAGEREF _Toc3249 \h </w:instrText>
      </w:r>
      <w:r>
        <w:fldChar w:fldCharType="separate"/>
      </w:r>
      <w:r>
        <w:t>22</w:t>
      </w:r>
      <w:r>
        <w:fldChar w:fldCharType="end"/>
      </w:r>
      <w:r>
        <w:fldChar w:fldCharType="end"/>
      </w:r>
    </w:p>
    <w:p>
      <w:r>
        <w:fldChar w:fldCharType="end"/>
      </w:r>
    </w:p>
    <w:p>
      <w:pPr>
        <w:widowControl/>
        <w:shd w:val="clear" w:color="auto" w:fill="FFFFFF"/>
        <w:ind w:firstLine="440"/>
        <w:jc w:val="center"/>
        <w:rPr>
          <w:rFonts w:ascii="宋体" w:hAnsi="宋体" w:eastAsia="宋体" w:cs="宋体"/>
          <w:kern w:val="0"/>
          <w:sz w:val="32"/>
          <w:szCs w:val="32"/>
          <w:shd w:val="clear" w:color="auto" w:fill="FFFFFF"/>
        </w:rPr>
      </w:pPr>
      <w:r>
        <w:rPr>
          <w:rFonts w:ascii="仿宋" w:hAnsi="仿宋" w:eastAsia="仿宋"/>
          <w:sz w:val="24"/>
        </w:rPr>
        <w:br w:type="page"/>
      </w:r>
    </w:p>
    <w:p>
      <w:pPr>
        <w:widowControl/>
        <w:shd w:val="clear" w:color="auto" w:fill="FFFFFF"/>
        <w:ind w:firstLine="480"/>
        <w:jc w:val="center"/>
        <w:rPr>
          <w:rFonts w:ascii="黑体" w:hAnsi="黑体" w:eastAsia="黑体" w:cs="黑体"/>
          <w:sz w:val="44"/>
          <w:szCs w:val="44"/>
        </w:rPr>
      </w:pPr>
      <w:bookmarkStart w:id="14" w:name="_Toc28365"/>
      <w:r>
        <w:rPr>
          <w:rFonts w:hint="eastAsia" w:ascii="黑体" w:hAnsi="黑体" w:eastAsia="黑体" w:cs="黑体"/>
          <w:sz w:val="44"/>
          <w:szCs w:val="44"/>
        </w:rPr>
        <w:t>第一部分部门概况</w:t>
      </w:r>
      <w:bookmarkEnd w:id="14"/>
    </w:p>
    <w:p>
      <w:pPr>
        <w:widowControl/>
        <w:shd w:val="clear" w:color="auto" w:fill="FFFFFF"/>
        <w:ind w:firstLine="480"/>
        <w:jc w:val="left"/>
        <w:rPr>
          <w:rFonts w:ascii="黑体" w:hAnsi="黑体" w:eastAsia="黑体" w:cs="黑体"/>
          <w:kern w:val="0"/>
          <w:sz w:val="32"/>
          <w:szCs w:val="32"/>
          <w:shd w:val="clear" w:color="auto" w:fill="FFFFFF"/>
        </w:rPr>
      </w:pPr>
      <w:bookmarkStart w:id="15" w:name="_Toc3317"/>
      <w:r>
        <w:rPr>
          <w:rFonts w:hint="eastAsia" w:ascii="黑体" w:hAnsi="黑体" w:eastAsia="黑体" w:cs="黑体"/>
          <w:kern w:val="0"/>
          <w:sz w:val="32"/>
          <w:szCs w:val="32"/>
          <w:shd w:val="clear" w:color="auto" w:fill="FFFFFF"/>
        </w:rPr>
        <w:t>一、基本职能及主要工作</w:t>
      </w:r>
      <w:bookmarkEnd w:id="15"/>
    </w:p>
    <w:p>
      <w:pPr>
        <w:widowControl/>
        <w:shd w:val="clear" w:color="auto" w:fill="FFFFFF"/>
        <w:spacing w:line="572" w:lineRule="exact"/>
        <w:ind w:firstLine="480"/>
        <w:rPr>
          <w:rFonts w:ascii="楷体_GB2312" w:hAnsi="楷体_GB2312" w:eastAsia="楷体_GB2312" w:cs="楷体_GB2312"/>
          <w:sz w:val="32"/>
          <w:szCs w:val="32"/>
        </w:rPr>
      </w:pPr>
      <w:r>
        <w:rPr>
          <w:rFonts w:hint="eastAsia" w:ascii="楷体_GB2312" w:hAnsi="楷体_GB2312" w:eastAsia="楷体_GB2312" w:cs="楷体_GB2312"/>
          <w:kern w:val="0"/>
          <w:sz w:val="32"/>
          <w:szCs w:val="32"/>
          <w:shd w:val="clear" w:color="auto" w:fill="FFFFFF"/>
        </w:rPr>
        <w:t>（一）基本职能</w:t>
      </w:r>
    </w:p>
    <w:p>
      <w:pPr>
        <w:widowControl/>
        <w:shd w:val="clear" w:color="auto" w:fill="FFFFFF"/>
        <w:spacing w:line="572" w:lineRule="exact"/>
        <w:ind w:firstLine="48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贯彻执行国家有关财政管理等方面的法律、法规和规，拟定和执行我镇财政发展规划及其他有关政策。编制年度财政预算草案并组织执行，向人大报告财政决，管理和监督各项财政收支。管理各类政策性补贴等资金，建立惠农资金补助对象管理新机制，进一步完善财政补贴农民资金“一卡(折)通”发放机制。负责对各类专项资金的监管，提高财政资金使用效率。负责非税收入。提出加强财政管理的政策建议，负责财政、税收政策法规的宣传工作。执行会计集中核算，落实“乡财县管、村帐乡监”等管理制度，严格按照上级财政部门规定的工作程序开展工作，充分发挥财政资金效益。负责本镇国有资产监督管理工作。负责做好农村综合改革和社会主义新农村建设相关工作。承办镇党委、政府及上级财政部门交办的其他事项。</w:t>
      </w:r>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（二）2021年重点工作完成情况。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以来，我镇认真贯彻党的十九大精神和习近平总书记系列重要讲话精神，在区委、区政府的坚强领导下，按照年初工作部署，紧紧围绕“抓发展、促创新、保稳定”的工作思路，转变工作作风，大力抓好镇域经济发展，进一步加快农村基础设施建设步伐，实现经济平稳较快发展，较好地完成了各项工作，全镇经济发展的社会事业上了一新的台阶。</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1、坚持科学发展，经济指标稳步增长。</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2021年全镇固定资产投资已完成2000万元,占任务数的120%;招商引资到位资金1528万元，占任务数的110%。协税护税100余万元，国民生产总值突破10000万元，人均收入近15000元，各项指标均已完成任务。</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2、坚持问题导向，脱贫攻坚成果进一步巩固提升。</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结合我镇行政区划调整和村级建制调整改革后的脱贫攻坚实际，党委政府专题研究，统筹优化帮扶力量。</w:t>
      </w:r>
      <w:r>
        <w:rPr>
          <w:rFonts w:hint="eastAsia" w:ascii="仿宋_GB2312" w:hAnsi="仿宋_GB2312" w:eastAsia="仿宋_GB2312" w:cs="仿宋_GB2312"/>
          <w:b/>
          <w:bCs/>
          <w:kern w:val="0"/>
          <w:sz w:val="32"/>
          <w:szCs w:val="32"/>
          <w:shd w:val="clear" w:color="auto" w:fill="FFFFFF"/>
        </w:rPr>
        <w:t>一方面</w:t>
      </w:r>
      <w:r>
        <w:rPr>
          <w:rFonts w:hint="eastAsia" w:ascii="仿宋_GB2312" w:hAnsi="仿宋_GB2312" w:eastAsia="仿宋_GB2312" w:cs="仿宋_GB2312"/>
          <w:kern w:val="0"/>
          <w:sz w:val="32"/>
          <w:szCs w:val="32"/>
          <w:shd w:val="clear" w:color="auto" w:fill="FFFFFF"/>
        </w:rPr>
        <w:t>，对帮扶对象严格实行动态管理，及时对贫困村、贫困户进行信息采集、更新录入，确保扶贫子系统中数据一致性和实际性。</w:t>
      </w:r>
      <w:r>
        <w:rPr>
          <w:rFonts w:hint="eastAsia" w:ascii="仿宋_GB2312" w:hAnsi="仿宋_GB2312" w:eastAsia="仿宋_GB2312" w:cs="仿宋_GB2312"/>
          <w:b/>
          <w:bCs/>
          <w:kern w:val="0"/>
          <w:sz w:val="32"/>
          <w:szCs w:val="32"/>
          <w:shd w:val="clear" w:color="auto" w:fill="FFFFFF"/>
        </w:rPr>
        <w:t>另一方面</w:t>
      </w:r>
      <w:r>
        <w:rPr>
          <w:rFonts w:hint="eastAsia" w:ascii="仿宋_GB2312" w:hAnsi="仿宋_GB2312" w:eastAsia="仿宋_GB2312" w:cs="仿宋_GB2312"/>
          <w:kern w:val="0"/>
          <w:sz w:val="32"/>
          <w:szCs w:val="32"/>
          <w:shd w:val="clear" w:color="auto" w:fill="FFFFFF"/>
        </w:rPr>
        <w:t>，按照区委、区政府要求，全力做好“一诊”摸底、回头看大排查、总复习第二轮“回头看大排查”、普查清查摸底、探索解决相对贫困问题试点、脱贫攻坚项目清理等系列工作，全面查漏补缺，真帮真扶。贫困户“一超六有”“村五有”“乡三有”全面达标，2021年度全镇贫困户家庭年人均纯收入达12417.74元。顺利通过了7月份全国脱贫攻坚普查和11月份省、市脱贫攻坚成效考核。</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3、优化产业布局，产业化水平显著提高收效明显。</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对标区委区政府下达的目标任务，因地制宜，多措并举，认真搞好各项工作，全年目标任务全面完成。紧紧围绕我镇土鸡、生猪、山羊、休闲垂钓四大主导产业发展，逐步做大做强。</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4、着力基础设施建设，城乡面貌焕然一新。</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一是</w:t>
      </w:r>
      <w:r>
        <w:rPr>
          <w:rFonts w:hint="eastAsia" w:ascii="仿宋_GB2312" w:hAnsi="仿宋_GB2312" w:eastAsia="仿宋_GB2312" w:cs="仿宋_GB2312"/>
          <w:kern w:val="0"/>
          <w:sz w:val="32"/>
          <w:szCs w:val="32"/>
          <w:shd w:val="clear" w:color="auto" w:fill="FFFFFF"/>
        </w:rPr>
        <w:t>城镇化水平大幅提高。镇党委政府多方协调，科学规划，积极优化场镇功能配置，努力营造良好商业业态，大力改善集镇形象。</w:t>
      </w:r>
      <w:r>
        <w:rPr>
          <w:rFonts w:hint="eastAsia" w:ascii="仿宋_GB2312" w:hAnsi="仿宋_GB2312" w:eastAsia="仿宋_GB2312" w:cs="仿宋_GB2312"/>
          <w:b/>
          <w:bCs/>
          <w:kern w:val="0"/>
          <w:sz w:val="32"/>
          <w:szCs w:val="32"/>
          <w:shd w:val="clear" w:color="auto" w:fill="FFFFFF"/>
        </w:rPr>
        <w:t>二是</w:t>
      </w:r>
      <w:r>
        <w:rPr>
          <w:rFonts w:hint="eastAsia" w:ascii="仿宋_GB2312" w:hAnsi="仿宋_GB2312" w:eastAsia="仿宋_GB2312" w:cs="仿宋_GB2312"/>
          <w:kern w:val="0"/>
          <w:sz w:val="32"/>
          <w:szCs w:val="32"/>
          <w:shd w:val="clear" w:color="auto" w:fill="FFFFFF"/>
        </w:rPr>
        <w:t>乡村振兴高起点推进。对标全面小康目标任务，以补齐农村基础设施和公共服务方面短板为突破口，加紧开工农村基础设施项目，加快升级公共服务水平。</w:t>
      </w:r>
      <w:r>
        <w:rPr>
          <w:rFonts w:hint="eastAsia" w:ascii="仿宋_GB2312" w:hAnsi="仿宋_GB2312" w:eastAsia="仿宋_GB2312" w:cs="仿宋_GB2312"/>
          <w:b/>
          <w:bCs/>
          <w:kern w:val="0"/>
          <w:sz w:val="32"/>
          <w:szCs w:val="32"/>
          <w:shd w:val="clear" w:color="auto" w:fill="FFFFFF"/>
        </w:rPr>
        <w:t>三是</w:t>
      </w:r>
      <w:r>
        <w:rPr>
          <w:rFonts w:hint="eastAsia" w:ascii="仿宋_GB2312" w:hAnsi="仿宋_GB2312" w:eastAsia="仿宋_GB2312" w:cs="仿宋_GB2312"/>
          <w:kern w:val="0"/>
          <w:sz w:val="32"/>
          <w:szCs w:val="32"/>
          <w:shd w:val="clear" w:color="auto" w:fill="FFFFFF"/>
        </w:rPr>
        <w:t>基础设施进一步夯实。2021年全镇共建村组道路7条，总里程30.25公里。群众出行更加便捷，生产生活更加方便。</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5、着力保障和改善民生，社会事业协调发展。</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一是</w:t>
      </w:r>
      <w:r>
        <w:rPr>
          <w:rFonts w:hint="eastAsia" w:ascii="仿宋_GB2312" w:hAnsi="仿宋_GB2312" w:eastAsia="仿宋_GB2312" w:cs="仿宋_GB2312"/>
          <w:kern w:val="0"/>
          <w:sz w:val="32"/>
          <w:szCs w:val="32"/>
          <w:shd w:val="clear" w:color="auto" w:fill="FFFFFF"/>
        </w:rPr>
        <w:t>全面加强社会保障。围绕养老、医疗、工伤、失业、生育“五险合一”的目标，办理社会保障卡覆盖面98%以上，全面推进城乡居民养老保险扩面征缴，全镇城镇居民医疗保险参保率达100%.</w:t>
      </w:r>
      <w:r>
        <w:rPr>
          <w:rFonts w:hint="eastAsia" w:ascii="仿宋_GB2312" w:hAnsi="仿宋_GB2312" w:eastAsia="仿宋_GB2312" w:cs="仿宋_GB2312"/>
          <w:b/>
          <w:bCs/>
          <w:kern w:val="0"/>
          <w:sz w:val="32"/>
          <w:szCs w:val="32"/>
          <w:shd w:val="clear" w:color="auto" w:fill="FFFFFF"/>
        </w:rPr>
        <w:t>二是</w:t>
      </w:r>
      <w:r>
        <w:rPr>
          <w:rFonts w:hint="eastAsia" w:ascii="仿宋_GB2312" w:hAnsi="仿宋_GB2312" w:eastAsia="仿宋_GB2312" w:cs="仿宋_GB2312"/>
          <w:kern w:val="0"/>
          <w:sz w:val="32"/>
          <w:szCs w:val="32"/>
          <w:shd w:val="clear" w:color="auto" w:fill="FFFFFF"/>
        </w:rPr>
        <w:t>积极落实社会救助政策。切实做好城乡低保动态管理，确保困难群体基本生活保障。</w:t>
      </w:r>
      <w:r>
        <w:rPr>
          <w:rFonts w:hint="eastAsia" w:ascii="仿宋_GB2312" w:hAnsi="仿宋_GB2312" w:eastAsia="仿宋_GB2312" w:cs="仿宋_GB2312"/>
          <w:b/>
          <w:bCs/>
          <w:kern w:val="0"/>
          <w:sz w:val="32"/>
          <w:szCs w:val="32"/>
          <w:shd w:val="clear" w:color="auto" w:fill="FFFFFF"/>
        </w:rPr>
        <w:t>三是</w:t>
      </w:r>
      <w:r>
        <w:rPr>
          <w:rFonts w:hint="eastAsia" w:ascii="仿宋_GB2312" w:hAnsi="仿宋_GB2312" w:eastAsia="仿宋_GB2312" w:cs="仿宋_GB2312"/>
          <w:kern w:val="0"/>
          <w:sz w:val="32"/>
          <w:szCs w:val="32"/>
          <w:shd w:val="clear" w:color="auto" w:fill="FFFFFF"/>
        </w:rPr>
        <w:t>积极繁荣文旅事业。争取市区文化下乡，大力支持镇内文化艺术团常态化汇演，坝坝舞、广场舞、柔力球等文体活动定时开展，国庆节组织开展大型文体活动1次，全镇文化体育事业欣欣向荣。四是生态环境全面改善。全年无重大环境污染事故发生。</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6、注重和谐、深化治理，社会管理不断强化。</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一是</w:t>
      </w:r>
      <w:r>
        <w:rPr>
          <w:rFonts w:hint="eastAsia" w:ascii="仿宋_GB2312" w:hAnsi="仿宋_GB2312" w:eastAsia="仿宋_GB2312" w:cs="仿宋_GB2312"/>
          <w:kern w:val="0"/>
          <w:sz w:val="32"/>
          <w:szCs w:val="32"/>
          <w:shd w:val="clear" w:color="auto" w:fill="FFFFFF"/>
        </w:rPr>
        <w:t>法制建设深入推进。深入贯彻落实省、市、区“七五”普法工作会议的有关精神，坚持以党政“一把手”为依法治理工作领导小组组长。坚持会前学法制度落实，强化村级治理，严格落实法治惠民“12345”扶贫工作。扎实有效地开展“七五”普法和“法治政府”、“法治示范村”创建活动，辖区居民依法参政、议政、依法办事的自觉性得到进一步加强。</w:t>
      </w:r>
      <w:r>
        <w:rPr>
          <w:rFonts w:hint="eastAsia" w:ascii="仿宋_GB2312" w:hAnsi="仿宋_GB2312" w:eastAsia="仿宋_GB2312" w:cs="仿宋_GB2312"/>
          <w:b/>
          <w:bCs/>
          <w:kern w:val="0"/>
          <w:sz w:val="32"/>
          <w:szCs w:val="32"/>
          <w:shd w:val="clear" w:color="auto" w:fill="FFFFFF"/>
        </w:rPr>
        <w:t>二是</w:t>
      </w:r>
      <w:r>
        <w:rPr>
          <w:rFonts w:hint="eastAsia" w:ascii="仿宋_GB2312" w:hAnsi="仿宋_GB2312" w:eastAsia="仿宋_GB2312" w:cs="仿宋_GB2312"/>
          <w:kern w:val="0"/>
          <w:sz w:val="32"/>
          <w:szCs w:val="32"/>
          <w:shd w:val="clear" w:color="auto" w:fill="FFFFFF"/>
        </w:rPr>
        <w:t>社会治理成效显著。探索建立基层治理新机制，完善村规民约修订、乡贤志愿服务队管理及党务村务财务公开等制度，成立了法治宣讲队伍、法律咨询服务队伍、预警联防阻击队伍，结合农村农民夜校培训、道德积分评定、法制讲堂等活动，进一步提升基层民主自治水平；镇乡贤义务工作组，成功调解民事纠纷3起，开展政策宣传3次。全年开展矛盾纠纷大排查6次，及时处理省、市、区委书记信箱来信和网络舆情，做到了有问题及时转、有疑问及时答、有苗头正确引。全年共处理信访事项10余件。</w:t>
      </w:r>
      <w:r>
        <w:rPr>
          <w:rFonts w:hint="eastAsia" w:ascii="仿宋_GB2312" w:hAnsi="仿宋_GB2312" w:eastAsia="仿宋_GB2312" w:cs="仿宋_GB2312"/>
          <w:b/>
          <w:bCs/>
          <w:kern w:val="0"/>
          <w:sz w:val="32"/>
          <w:szCs w:val="32"/>
          <w:shd w:val="clear" w:color="auto" w:fill="FFFFFF"/>
        </w:rPr>
        <w:t>三是</w:t>
      </w:r>
      <w:r>
        <w:rPr>
          <w:rFonts w:hint="eastAsia" w:ascii="仿宋_GB2312" w:hAnsi="仿宋_GB2312" w:eastAsia="仿宋_GB2312" w:cs="仿宋_GB2312"/>
          <w:kern w:val="0"/>
          <w:sz w:val="32"/>
          <w:szCs w:val="32"/>
          <w:shd w:val="clear" w:color="auto" w:fill="FFFFFF"/>
        </w:rPr>
        <w:t>安全生产态势平稳。及时调整安全生产工作领导小组，实行领导干部连片包干负责制，修订完善重大突发事件应急预案，开展安全知识教育培训10次，强化道路江河、建筑工地、森林防火、地质灾害、食品药品等重点领域监管；常态性开展学校及周边治安秩序专项整治，全力打击非法营运车辆，集中开展摩托车超载人员、农用车搭人、三轮车、客车等专项整治，加大对餐饮店、农村宴席和村医疗点的监管力度，实现了安全综合管理无盲区、无特殊。全年无重大安全事故发生。</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7、夯实基层基础，全面从严治党向纵深推进。</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一是</w:t>
      </w:r>
      <w:r>
        <w:rPr>
          <w:rFonts w:hint="eastAsia" w:ascii="仿宋_GB2312" w:hAnsi="仿宋_GB2312" w:eastAsia="仿宋_GB2312" w:cs="仿宋_GB2312"/>
          <w:kern w:val="0"/>
          <w:sz w:val="32"/>
          <w:szCs w:val="32"/>
          <w:shd w:val="clear" w:color="auto" w:fill="FFFFFF"/>
        </w:rPr>
        <w:t>强化干部队伍建设。严格落实“三重一大”工作制度及党委中心组学习制度，开展村级建制调整、党风廉政建设等党建专项调研工作10余次。</w:t>
      </w:r>
      <w:r>
        <w:rPr>
          <w:rFonts w:hint="eastAsia" w:ascii="仿宋_GB2312" w:hAnsi="仿宋_GB2312" w:eastAsia="仿宋_GB2312" w:cs="仿宋_GB2312"/>
          <w:b/>
          <w:bCs/>
          <w:kern w:val="0"/>
          <w:sz w:val="32"/>
          <w:szCs w:val="32"/>
          <w:shd w:val="clear" w:color="auto" w:fill="FFFFFF"/>
        </w:rPr>
        <w:t>二是</w:t>
      </w:r>
      <w:r>
        <w:rPr>
          <w:rFonts w:hint="eastAsia" w:ascii="仿宋_GB2312" w:hAnsi="仿宋_GB2312" w:eastAsia="仿宋_GB2312" w:cs="仿宋_GB2312"/>
          <w:kern w:val="0"/>
          <w:sz w:val="32"/>
          <w:szCs w:val="32"/>
          <w:shd w:val="clear" w:color="auto" w:fill="FFFFFF"/>
        </w:rPr>
        <w:t>抓实党建扶贫工作。完善抓脱贫攻坚工作的领导体制和工作机制，每周召开脱贫攻坚会商调度会。及时调整充实“六个一”帮扶力量管理服务办公室成员，强化驻村工作队管理。对脱贫攻坚“一诊”、“二诊”查摆出的241个问题全部整改销号。大力选树脱贫攻坚先进典型，成功推荐黄勇、徐桂琼为省级优秀第一书记和省级优秀驻村农技员。</w:t>
      </w:r>
      <w:r>
        <w:rPr>
          <w:rFonts w:hint="eastAsia" w:ascii="仿宋_GB2312" w:hAnsi="仿宋_GB2312" w:eastAsia="仿宋_GB2312" w:cs="仿宋_GB2312"/>
          <w:b/>
          <w:bCs/>
          <w:kern w:val="0"/>
          <w:sz w:val="32"/>
          <w:szCs w:val="32"/>
          <w:shd w:val="clear" w:color="auto" w:fill="FFFFFF"/>
        </w:rPr>
        <w:t>三是</w:t>
      </w:r>
      <w:r>
        <w:rPr>
          <w:rFonts w:hint="eastAsia" w:ascii="仿宋_GB2312" w:hAnsi="仿宋_GB2312" w:eastAsia="仿宋_GB2312" w:cs="仿宋_GB2312"/>
          <w:kern w:val="0"/>
          <w:sz w:val="32"/>
          <w:szCs w:val="32"/>
          <w:shd w:val="clear" w:color="auto" w:fill="FFFFFF"/>
        </w:rPr>
        <w:t>强化农民工党建工作。组织召开返乡农民工座谈会6次，回引返乡创业优秀人才10人，吸引优秀农民工到村任职3人。</w:t>
      </w:r>
      <w:r>
        <w:rPr>
          <w:rFonts w:hint="eastAsia" w:ascii="仿宋_GB2312" w:hAnsi="仿宋_GB2312" w:eastAsia="仿宋_GB2312" w:cs="仿宋_GB2312"/>
          <w:b/>
          <w:bCs/>
          <w:kern w:val="0"/>
          <w:sz w:val="32"/>
          <w:szCs w:val="32"/>
          <w:shd w:val="clear" w:color="auto" w:fill="FFFFFF"/>
        </w:rPr>
        <w:t>四是</w:t>
      </w:r>
      <w:r>
        <w:rPr>
          <w:rFonts w:hint="eastAsia" w:ascii="仿宋_GB2312" w:hAnsi="仿宋_GB2312" w:eastAsia="仿宋_GB2312" w:cs="仿宋_GB2312"/>
          <w:kern w:val="0"/>
          <w:sz w:val="32"/>
          <w:szCs w:val="32"/>
          <w:shd w:val="clear" w:color="auto" w:fill="FFFFFF"/>
        </w:rPr>
        <w:t>强化正风肃纪，营造风清气正的发展环境。制定完善全面从严治党“三张清单”，梳理班子主体责任12项。定期组织召开镇党委会，研究全面从严治党工作，专题研究“巡视巡查整改”“以案促改”“社会评价”等重点工作，传达上级重大会议精神12次，主要领导讲廉政党课4次，主要领导与班子成员，班子成员与干部谈心谈话60人次。充分运用监督执纪“四种形态”，诫勉谈话1人。</w:t>
      </w:r>
    </w:p>
    <w:p>
      <w:pPr>
        <w:widowControl/>
        <w:shd w:val="clear" w:color="auto" w:fill="FFFFFF"/>
        <w:spacing w:line="572" w:lineRule="exact"/>
        <w:ind w:firstLine="480"/>
        <w:rPr>
          <w:rFonts w:ascii="黑体" w:hAnsi="黑体" w:eastAsia="黑体" w:cs="黑体"/>
          <w:kern w:val="0"/>
          <w:sz w:val="32"/>
          <w:szCs w:val="32"/>
          <w:shd w:val="clear" w:color="auto" w:fill="FFFFFF"/>
        </w:rPr>
      </w:pPr>
      <w:bookmarkStart w:id="16" w:name="_Toc68"/>
      <w:r>
        <w:rPr>
          <w:rFonts w:hint="eastAsia" w:ascii="黑体" w:hAnsi="黑体" w:eastAsia="黑体" w:cs="黑体"/>
          <w:kern w:val="0"/>
          <w:sz w:val="32"/>
          <w:szCs w:val="32"/>
          <w:shd w:val="clear" w:color="auto" w:fill="FFFFFF"/>
        </w:rPr>
        <w:t>二、机构设置</w:t>
      </w:r>
      <w:bookmarkEnd w:id="16"/>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青牛镇人民政府属于一级预算单位，政府单位机构数1个，其中行政单位1个，参照公务员法管理的事业单位0个，其他事业单位0个。</w:t>
      </w:r>
    </w:p>
    <w:p>
      <w:pPr>
        <w:widowControl/>
        <w:shd w:val="clear" w:color="auto" w:fill="FFFFFF"/>
        <w:ind w:firstLine="480"/>
        <w:jc w:val="center"/>
        <w:rPr>
          <w:rFonts w:ascii="黑体" w:hAnsi="黑体" w:eastAsia="黑体" w:cs="黑体"/>
          <w:sz w:val="44"/>
          <w:szCs w:val="44"/>
        </w:rPr>
      </w:pPr>
      <w:bookmarkStart w:id="17" w:name="_Toc5744"/>
      <w:r>
        <w:rPr>
          <w:rFonts w:hint="eastAsia" w:ascii="黑体" w:hAnsi="黑体" w:eastAsia="黑体" w:cs="黑体"/>
          <w:sz w:val="44"/>
          <w:szCs w:val="44"/>
        </w:rPr>
        <w:t>第二部分2021年度部门决算情况说明</w:t>
      </w:r>
      <w:bookmarkEnd w:id="17"/>
    </w:p>
    <w:p>
      <w:pPr>
        <w:widowControl/>
        <w:shd w:val="clear" w:color="auto" w:fill="FFFFFF"/>
        <w:spacing w:line="572" w:lineRule="exact"/>
        <w:ind w:firstLine="480"/>
        <w:rPr>
          <w:rFonts w:ascii="黑体" w:hAnsi="黑体" w:eastAsia="黑体" w:cs="黑体"/>
          <w:kern w:val="0"/>
          <w:sz w:val="32"/>
          <w:szCs w:val="32"/>
          <w:shd w:val="clear" w:color="auto" w:fill="FFFFFF"/>
        </w:rPr>
      </w:pPr>
      <w:bookmarkStart w:id="18" w:name="_Toc14160"/>
      <w:r>
        <w:rPr>
          <w:rFonts w:hint="eastAsia" w:ascii="黑体" w:hAnsi="黑体" w:eastAsia="黑体" w:cs="黑体"/>
          <w:kern w:val="0"/>
          <w:sz w:val="32"/>
          <w:szCs w:val="32"/>
          <w:shd w:val="clear" w:color="auto" w:fill="FFFFFF"/>
        </w:rPr>
        <w:t>一、收入支出决算总体情况说明</w:t>
      </w:r>
      <w:bookmarkEnd w:id="18"/>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2021年度收、支总计552.82万元，与2020年575万元相比收、支总计减少22.18万元，减少3.86%。主要变动原因是政府基金预算拨款及人员减少。</w:t>
      </w:r>
    </w:p>
    <w:p>
      <w:pPr>
        <w:pStyle w:val="2"/>
        <w:rPr>
          <w:rFonts w:hint="eastAsia" w:eastAsia="仿宋_GB2312"/>
          <w:lang w:eastAsia="zh-CN"/>
        </w:rPr>
      </w:pPr>
    </w:p>
    <w:p>
      <w:pPr>
        <w:pStyle w:val="2"/>
        <w:rPr>
          <w:rFonts w:hint="eastAsia" w:eastAsia="仿宋_GB2312"/>
          <w:lang w:eastAsia="zh-CN"/>
        </w:rPr>
      </w:pPr>
    </w:p>
    <w:p>
      <w:pPr>
        <w:pStyle w:val="2"/>
        <w:rPr>
          <w:rFonts w:hint="eastAsia" w:eastAsia="仿宋_GB2312"/>
          <w:lang w:eastAsia="zh-CN"/>
        </w:rPr>
      </w:pPr>
    </w:p>
    <w:p>
      <w:pPr>
        <w:pStyle w:val="2"/>
        <w:rPr>
          <w:rFonts w:hint="eastAsia" w:eastAsia="仿宋_GB2312"/>
          <w:lang w:eastAsia="zh-CN"/>
        </w:rPr>
      </w:pPr>
    </w:p>
    <w:p>
      <w:pPr>
        <w:pStyle w:val="2"/>
        <w:rPr>
          <w:rFonts w:hint="eastAsia" w:eastAsia="仿宋_GB2312"/>
          <w:lang w:eastAsia="zh-CN"/>
        </w:rPr>
      </w:pPr>
    </w:p>
    <w:p>
      <w:pPr>
        <w:pStyle w:val="2"/>
        <w:rPr>
          <w:rFonts w:hint="eastAsia" w:eastAsia="仿宋_GB231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仿宋_GB2312"/>
          <w:lang w:eastAsia="zh-CN"/>
        </w:rPr>
      </w:pPr>
      <w:r>
        <w:rPr>
          <w:rFonts w:hint="eastAsia" w:ascii="仿宋" w:hAnsi="仿宋" w:eastAsia="仿宋"/>
          <w:color w:val="000000"/>
          <w:sz w:val="32"/>
          <w:szCs w:val="32"/>
          <w:lang w:eastAsia="zh-CN"/>
        </w:rPr>
        <w:pict>
          <v:shape id="Object 2" o:spid="_x0000_s2051" o:spt="75" type="#_x0000_t75" style="position:absolute;left:0pt;margin-left:18.75pt;margin-top:2.6pt;height:184.45pt;width:294.15pt;mso-wrap-distance-bottom:0pt;mso-wrap-distance-top:0pt;z-index:251659264;mso-width-relative:page;mso-height-relative:page;" o:ole="t" filled="f" o:preferrelative="t" stroked="f" coordsize="21600,21600">
            <v:path/>
            <v:fill on="f" focussize="0,0"/>
            <v:stroke on="f"/>
            <v:imagedata r:id="rId7" o:title=""/>
            <o:lock v:ext="edit" aspectratio="t"/>
            <w10:wrap type="topAndBottom"/>
          </v:shape>
          <o:OLEObject Type="Embed" ProgID="Excel.Chart.8" ShapeID="Object 2" DrawAspect="Content" ObjectID="_1468075725" r:id="rId6">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widowControl/>
        <w:shd w:val="clear" w:color="auto" w:fill="FFFFFF"/>
        <w:spacing w:line="572" w:lineRule="exact"/>
        <w:ind w:firstLine="480"/>
        <w:rPr>
          <w:rFonts w:ascii="黑体" w:hAnsi="黑体" w:eastAsia="黑体" w:cs="黑体"/>
          <w:kern w:val="0"/>
          <w:sz w:val="32"/>
          <w:szCs w:val="32"/>
          <w:shd w:val="clear" w:color="auto" w:fill="FFFFFF"/>
        </w:rPr>
      </w:pPr>
      <w:bookmarkStart w:id="19" w:name="_Toc20339"/>
      <w:r>
        <w:rPr>
          <w:rFonts w:hint="eastAsia" w:ascii="黑体" w:hAnsi="黑体" w:eastAsia="黑体" w:cs="黑体"/>
          <w:kern w:val="0"/>
          <w:sz w:val="32"/>
          <w:szCs w:val="32"/>
          <w:shd w:val="clear" w:color="auto" w:fill="FFFFFF"/>
        </w:rPr>
        <w:t>二、收入决算情况说明</w:t>
      </w:r>
      <w:bookmarkEnd w:id="19"/>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2021年本年收入合计552.82万元，其中：一般公共预算财政拨款收入552.82万元，占100%</w:t>
      </w:r>
      <w:bookmarkStart w:id="20" w:name="_Toc26610"/>
      <w:r>
        <w:rPr>
          <w:rFonts w:hint="eastAsia" w:ascii="仿宋_GB2312" w:hAnsi="仿宋_GB2312" w:eastAsia="仿宋_GB2312" w:cs="仿宋_GB2312"/>
          <w:kern w:val="0"/>
          <w:sz w:val="32"/>
          <w:szCs w:val="32"/>
          <w:shd w:val="clear" w:color="auto" w:fill="FFFFFF"/>
        </w:rPr>
        <w:t>.</w:t>
      </w:r>
      <w:r>
        <w:rPr>
          <w:rFonts w:hint="eastAsia" w:ascii="仿宋" w:hAnsi="仿宋" w:eastAsia="仿宋" w:cs="Times New Roman"/>
          <w:color w:val="000000"/>
          <w:sz w:val="32"/>
          <w:szCs w:val="32"/>
          <w:lang w:val="en-US" w:eastAsia="zh-CN"/>
        </w:rPr>
        <w:pict>
          <v:shape id="Object 3" o:spid="_x0000_s2053" o:spt="75" type="#_x0000_t75" style="position:absolute;left:0pt;margin-left:51.7pt;margin-top:103.2pt;height:148.65pt;width:316.1pt;mso-wrap-distance-bottom:0pt;mso-wrap-distance-top:0pt;z-index:251662336;mso-width-relative:page;mso-height-relative:page;" o:ole="t" filled="f" o:preferrelative="t" stroked="f" coordsize="21600,21600">
            <v:path/>
            <v:fill on="f" focussize="0,0"/>
            <v:stroke on="f"/>
            <v:imagedata r:id="rId9" o:title=""/>
            <o:lock v:ext="edit" aspectratio="t"/>
            <w10:wrap type="topAndBottom"/>
          </v:shape>
          <o:OLEObject Type="Embed" ProgID="Excel.Chart.8" ShapeID="Object 3" DrawAspect="Content" ObjectID="_1468075726" r:id="rId8">
            <o:LockedField>false</o:LockedField>
          </o:OLEObject>
        </w:pict>
      </w:r>
    </w:p>
    <w:p>
      <w:pPr>
        <w:pStyle w:val="2"/>
        <w:rPr>
          <w:rFonts w:hint="eastAsia" w:ascii="仿宋_GB2312" w:hAnsi="仿宋_GB2312" w:eastAsia="仿宋_GB2312" w:cs="仿宋_GB2312"/>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widowControl/>
        <w:shd w:val="clear" w:color="auto" w:fill="FFFFFF"/>
        <w:spacing w:line="572" w:lineRule="exact"/>
        <w:ind w:firstLine="48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三、支出决算情况说明</w:t>
      </w:r>
      <w:bookmarkEnd w:id="20"/>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2021年本年支出合计552.82万元，其中：基本支出489.49万元，占88.54%；项目支出63.33万元，占11.46%。</w:t>
      </w:r>
    </w:p>
    <w:p>
      <w:pPr>
        <w:pStyle w:val="2"/>
        <w:rPr>
          <w:rFonts w:hint="eastAsia" w:ascii="仿宋_GB2312" w:hAnsi="仿宋_GB2312" w:eastAsia="仿宋_GB2312" w:cs="仿宋_GB2312"/>
          <w:kern w:val="0"/>
          <w:sz w:val="32"/>
          <w:szCs w:val="32"/>
          <w:shd w:val="clear" w:color="auto" w:fill="FFFFFF"/>
        </w:rPr>
      </w:pPr>
    </w:p>
    <w:p>
      <w:pPr>
        <w:pStyle w:val="2"/>
        <w:jc w:val="center"/>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shd w:val="pct10" w:color="auto" w:fill="FFFFFF"/>
          <w:lang w:eastAsia="zh-CN"/>
        </w:rPr>
        <w:pict>
          <v:shape id="Object 7" o:spid="_x0000_s2054" o:spt="75" type="#_x0000_t75" style="position:absolute;left:0pt;margin-left:49pt;margin-top:20.95pt;height:150.85pt;width:329.3pt;mso-wrap-distance-bottom:0pt;mso-wrap-distance-top:0pt;z-index:251663360;mso-width-relative:page;mso-height-relative:page;" o:ole="t" filled="f" o:preferrelative="t" stroked="f" coordsize="21600,21600">
            <v:path/>
            <v:fill on="f" focussize="0,0"/>
            <v:stroke on="f"/>
            <v:imagedata r:id="rId11" o:title=""/>
            <o:lock v:ext="edit" aspectratio="t"/>
            <w10:wrap type="topAndBottom"/>
          </v:shape>
          <o:OLEObject Type="Embed" ProgID="Excel.Chart.8" ShapeID="Object 7" DrawAspect="Content" ObjectID="_1468075727" r:id="rId10">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widowControl/>
        <w:shd w:val="clear" w:color="auto" w:fill="FFFFFF"/>
        <w:spacing w:line="572" w:lineRule="exact"/>
        <w:ind w:firstLine="480"/>
        <w:rPr>
          <w:rFonts w:ascii="黑体" w:hAnsi="黑体" w:eastAsia="黑体" w:cs="黑体"/>
          <w:kern w:val="0"/>
          <w:sz w:val="32"/>
          <w:szCs w:val="32"/>
          <w:shd w:val="clear" w:color="auto" w:fill="FFFFFF"/>
        </w:rPr>
      </w:pPr>
      <w:bookmarkStart w:id="21" w:name="_Toc18476"/>
      <w:r>
        <w:rPr>
          <w:rFonts w:hint="eastAsia" w:ascii="黑体" w:hAnsi="黑体" w:eastAsia="黑体" w:cs="黑体"/>
          <w:kern w:val="0"/>
          <w:sz w:val="32"/>
          <w:szCs w:val="32"/>
          <w:shd w:val="clear" w:color="auto" w:fill="FFFFFF"/>
        </w:rPr>
        <w:t>四、财政拨款收入支出决算总体情况说明</w:t>
      </w:r>
      <w:bookmarkEnd w:id="21"/>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2021年度收、支总计552.82万元，与2020年575万元相比，收、支总计减少22.18万元，减少3.86%万元，</w:t>
      </w:r>
      <w:bookmarkStart w:id="22" w:name="_Toc1292"/>
      <w:r>
        <w:rPr>
          <w:rFonts w:hint="eastAsia" w:ascii="仿宋_GB2312" w:hAnsi="仿宋_GB2312" w:eastAsia="仿宋_GB2312" w:cs="仿宋_GB2312"/>
          <w:kern w:val="0"/>
          <w:sz w:val="32"/>
          <w:szCs w:val="32"/>
          <w:shd w:val="clear" w:color="auto" w:fill="FFFFFF"/>
        </w:rPr>
        <w:t>主要变动原因是政府基金预算拨款及人员减少。</w:t>
      </w:r>
    </w:p>
    <w:p>
      <w:pPr>
        <w:pStyle w:val="2"/>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lang w:eastAsia="zh-CN"/>
        </w:rPr>
        <w:pict>
          <v:shape id="Object 6" o:spid="_x0000_s2055" o:spt="75" type="#_x0000_t75" style="position:absolute;left:0pt;margin-left:20pt;margin-top:21.3pt;height:162pt;width:336.05pt;mso-wrap-distance-left:9pt;mso-wrap-distance-right:9pt;z-index:-251652096;mso-width-relative:page;mso-height-relative:page;" o:ole="t" filled="f" o:preferrelative="t" stroked="f" coordsize="21600,21600" wrapcoords="21591 -2 0 0 0 21600 21591 21602 8 21602 21599 21600 21599 0 8 -2 21591 -2">
            <v:path/>
            <v:fill on="f" focussize="0,0"/>
            <v:stroke on="f"/>
            <v:imagedata r:id="rId13" o:title=""/>
            <o:lock v:ext="edit" aspectratio="t"/>
            <w10:wrap type="tight"/>
          </v:shape>
          <o:OLEObject Type="Embed" ProgID="Excel.Chart.8" ShapeID="Object 6" DrawAspect="Content" ObjectID="_1468075728" r:id="rId12">
            <o:LockedField>false</o:LockedField>
          </o:OLEObject>
        </w:pict>
      </w:r>
    </w:p>
    <w:p>
      <w:pPr>
        <w:pStyle w:val="2"/>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widowControl/>
        <w:shd w:val="clear" w:color="auto" w:fill="FFFFFF"/>
        <w:spacing w:line="572" w:lineRule="exact"/>
        <w:ind w:firstLine="48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五、一般公共预算财政拨款支出决算情况说明</w:t>
      </w:r>
      <w:bookmarkEnd w:id="22"/>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（一）一般公共预算财政拨款支出决算总体情况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2021年一般公共预算财政拨款支出552.82万元，占本年支出合计的100%。与2020年相比，一般公共预算财政拨款支出减少9.18万元，减少1.63%。主要变动原因是人员减少。</w:t>
      </w: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r>
        <w:rPr>
          <w:rFonts w:hint="eastAsia" w:ascii="仿宋" w:hAnsi="仿宋" w:eastAsia="仿宋"/>
          <w:color w:val="000000"/>
          <w:sz w:val="32"/>
          <w:szCs w:val="32"/>
          <w:lang w:eastAsia="zh-CN"/>
        </w:rPr>
        <w:pict>
          <v:shape id="Object 10" o:spid="_x0000_s2056" o:spt="75" type="#_x0000_t75" style="position:absolute;left:0pt;margin-left:24.05pt;margin-top:23.55pt;height:174.05pt;width:348.1pt;mso-wrap-distance-left:9pt;mso-wrap-distance-right:9pt;z-index:-251651072;mso-width-relative:page;mso-height-relative:page;" o:ole="t" filled="f" o:preferrelative="t" stroked="f" coordsize="21600,21600" wrapcoords="21592 -2 0 0 0 21600 21592 21602 8 21602 21600 21600 21600 0 8 -2 21592 -2">
            <v:path/>
            <v:fill on="f" focussize="0,0"/>
            <v:stroke on="f"/>
            <v:imagedata r:id="rId15" o:title=""/>
            <o:lock v:ext="edit" aspectratio="t"/>
            <w10:wrap type="tight"/>
          </v:shape>
          <o:OLEObject Type="Embed" ProgID="Excel.Chart.8" ShapeID="Object 10" DrawAspect="Content" ObjectID="_1468075729" r:id="rId14">
            <o:LockedField>false</o:LockedField>
          </o:OLEObject>
        </w:pict>
      </w: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p>
    <w:p>
      <w:pPr>
        <w:spacing w:line="600" w:lineRule="exact"/>
        <w:ind w:firstLine="640" w:firstLineChars="200"/>
        <w:rPr>
          <w:rFonts w:hint="eastAsia" w:ascii="楷体_GB2312" w:hAnsi="楷体_GB2312" w:eastAsia="楷体_GB2312" w:cs="楷体_GB2312"/>
          <w:kern w:val="0"/>
          <w:sz w:val="32"/>
          <w:szCs w:val="32"/>
          <w:shd w:val="clear" w:color="auto" w:fill="FFFFFF"/>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（二）一般公共预算财政拨款支出决算结构情况</w:t>
      </w:r>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一般公共预算财政拨款支出552.82万元，主要用于以下方面:一般公共服务支出233.31万元，占42.21%；社会保障和就业支出34.41万元，占6.22%；卫生健康支出19.24万元，占3.48%；农林水支出236.24万元，占42.73%；住房保障支出29.62万元，占5.36%。</w:t>
      </w:r>
    </w:p>
    <w:p>
      <w:pPr>
        <w:pStyle w:val="2"/>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lang w:eastAsia="zh-CN"/>
        </w:rPr>
        <w:pict>
          <v:shape id="Object 11" o:spid="_x0000_s2058" o:spt="75" type="#_x0000_t75" style="position:absolute;left:0pt;margin-left:12.35pt;margin-top:26.7pt;height:147.95pt;width:342.7pt;mso-wrap-distance-left:9pt;mso-wrap-distance-right:9pt;z-index:-251650048;mso-width-relative:page;mso-height-relative:page;" o:ole="t" filled="f" o:preferrelative="t" stroked="f" coordsize="21600,21600" wrapcoords="21592 -2 0 0 0 21600 21592 21602 8 21602 21600 21600 21600 0 8 -2 21592 -2">
            <v:path/>
            <v:fill on="f" focussize="0,0"/>
            <v:stroke on="f"/>
            <v:imagedata r:id="rId17" o:title=""/>
            <o:lock v:ext="edit" aspectratio="t"/>
            <w10:wrap type="tight"/>
          </v:shape>
          <o:OLEObject Type="Embed" ProgID="Excel.Chart.8" ShapeID="Object 11" DrawAspect="Content" ObjectID="_1468075730" r:id="rId16">
            <o:LockedField>false</o:LockedField>
          </o:OLEObject>
        </w:pict>
      </w:r>
    </w:p>
    <w:p>
      <w:pPr>
        <w:pStyle w:val="2"/>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（三）一般公共预算财政拨款支出决算具体情况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2021年般公共预算支出决算数为562.00万元，完成预算100%。其中：</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1.一般公共服务:支出决算为233.31万元，完成预算100%。</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2.社会保障和就业:支出决算为34.41万元，完成预算100%。</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3.卫生健康:支出决算为19.24万元，完成预算100%。</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4.农林水：支出决算为236.24万元，完成预算100%。</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5.住房保障：支出决算为29.62万元，完成预算100%。</w:t>
      </w:r>
    </w:p>
    <w:p>
      <w:pPr>
        <w:widowControl/>
        <w:shd w:val="clear" w:color="auto" w:fill="FFFFFF"/>
        <w:spacing w:line="572" w:lineRule="exact"/>
        <w:ind w:firstLine="480"/>
        <w:rPr>
          <w:rFonts w:ascii="黑体" w:hAnsi="黑体" w:eastAsia="黑体" w:cs="黑体"/>
          <w:kern w:val="0"/>
          <w:sz w:val="32"/>
          <w:szCs w:val="32"/>
          <w:shd w:val="clear" w:color="auto" w:fill="FFFFFF"/>
        </w:rPr>
      </w:pPr>
      <w:bookmarkStart w:id="23" w:name="_Toc26042"/>
      <w:r>
        <w:rPr>
          <w:rFonts w:hint="eastAsia" w:ascii="黑体" w:hAnsi="黑体" w:eastAsia="黑体" w:cs="黑体"/>
          <w:kern w:val="0"/>
          <w:sz w:val="32"/>
          <w:szCs w:val="32"/>
          <w:shd w:val="clear" w:color="auto" w:fill="FFFFFF"/>
        </w:rPr>
        <w:t>六、一般公共预算财政拨款基本支出决算情况说明</w:t>
      </w:r>
      <w:bookmarkEnd w:id="23"/>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2021年一般公共预算财政拨款基本支出489.49万元，其中：</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人员经费424.21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公用经费65.28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widowControl/>
        <w:shd w:val="clear" w:color="auto" w:fill="FFFFFF"/>
        <w:spacing w:line="572" w:lineRule="exact"/>
        <w:ind w:firstLine="480"/>
        <w:rPr>
          <w:rFonts w:ascii="黑体" w:hAnsi="黑体" w:eastAsia="黑体" w:cs="黑体"/>
          <w:kern w:val="0"/>
          <w:sz w:val="32"/>
          <w:szCs w:val="32"/>
          <w:shd w:val="clear" w:color="auto" w:fill="FFFFFF"/>
        </w:rPr>
      </w:pPr>
      <w:bookmarkStart w:id="24" w:name="_Toc11764"/>
      <w:r>
        <w:rPr>
          <w:rFonts w:hint="eastAsia" w:ascii="黑体" w:hAnsi="黑体" w:eastAsia="黑体" w:cs="黑体"/>
          <w:kern w:val="0"/>
          <w:sz w:val="32"/>
          <w:szCs w:val="32"/>
          <w:shd w:val="clear" w:color="auto" w:fill="FFFFFF"/>
        </w:rPr>
        <w:t>七、“三公”经费财政拨款支出决算情况说明</w:t>
      </w:r>
      <w:bookmarkEnd w:id="24"/>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（一）“三公”经费财政拨款支出决算总体情况说明</w:t>
      </w:r>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2021年“三公”经费财政拨款支出决算为3.80万元，完成预算100%。2021年本单位未在政府性基金预算拨款安排“三公经费”支出。</w:t>
      </w:r>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（二）“三公”经费财政拨款支出决算具体情况说明</w:t>
      </w:r>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2021年“三公”经费财政拨款支出决算中，因公出国（境）费支出决算0万元，与上年度持平；公务用车购置及运行维护费支出决算0万元，与上年度持平；公务接待费支出决算3.80万元，占100%。具体情况如下：</w:t>
      </w:r>
    </w:p>
    <w:p>
      <w:pPr>
        <w:pageBreakBefore w:val="0"/>
        <w:kinsoku/>
        <w:wordWrap/>
        <w:overflowPunct/>
        <w:topLinePunct w:val="0"/>
        <w:bidi w:val="0"/>
        <w:snapToGrid w:val="0"/>
        <w:spacing w:line="576" w:lineRule="exact"/>
        <w:ind w:left="0" w:leftChars="0" w:right="0" w:firstLine="640" w:firstLineChars="200"/>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shd w:val="pct10" w:color="auto" w:fill="FFFFFF"/>
          <w:lang w:eastAsia="zh-CN"/>
        </w:rPr>
        <w:pict>
          <v:shape id="_x0000_s2060" o:spid="_x0000_s2060" o:spt="75" type="#_x0000_t75" style="position:absolute;left:0pt;margin-left:9.55pt;margin-top:12.25pt;height:170.3pt;width:396.9pt;mso-wrap-distance-bottom:0pt;mso-wrap-distance-top:0pt;z-index:251667456;mso-width-relative:page;mso-height-relative:page;" o:ole="t" filled="f" o:preferrelative="t" stroked="f" coordsize="21600,21600">
            <v:path/>
            <v:fill on="f" focussize="0,0"/>
            <v:stroke on="f"/>
            <v:imagedata r:id="rId19" o:title=""/>
            <o:lock v:ext="edit" aspectratio="t"/>
            <w10:wrap type="topAndBottom"/>
          </v:shape>
          <o:OLEObject Type="Embed" ProgID="Excel.Chart.8" ShapeID="_x0000_s2060" DrawAspect="Content" ObjectID="_1468075731" r:id="rId18">
            <o:LockedField>false</o:LockedField>
          </o:OLEObject>
        </w:pict>
      </w:r>
      <w:r>
        <w:rPr>
          <w:rFonts w:hint="default" w:ascii="Times New Roman" w:hAnsi="Times New Roman" w:eastAsia="仿宋_GB2312" w:cs="Times New Roman"/>
          <w:sz w:val="32"/>
          <w:szCs w:val="32"/>
        </w:rPr>
        <w:t>（图7：“三公”经费财政拨款支出结构）（饼状图）</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1.因公出国（境）经费支出0万元，年初未安排预算，与上年数持平，主要原因是我单位2021年没有公务出国事项。</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2.公务用车购置及运行维护费支出0万元，年初未安排预算，主要原因是我单位没有公务车配置。</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3.公务接待费支出3.80万元，完成预算97.12%。公务接待费支出决算比2020年5.83万元增加了2.03万元。主要原因是政策有所调整。</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主要用于执行公务、开展业务活动开支的交通费、住宿费、用餐费等。国内公务接待80批次650人次（不包括陪同人员），共计支出3.80万元，具体内容包括：生活费3.80万元。</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其他国内公务接待支出3.80万元，主要用于执行公务、开展业务活动开支的交通费、住宿费、用餐费等。</w:t>
      </w:r>
    </w:p>
    <w:p>
      <w:pPr>
        <w:widowControl/>
        <w:shd w:val="clear" w:color="auto" w:fill="FFFFFF"/>
        <w:spacing w:line="572" w:lineRule="exact"/>
        <w:ind w:firstLine="480"/>
        <w:rPr>
          <w:rFonts w:ascii="黑体" w:hAnsi="黑体" w:eastAsia="黑体" w:cs="黑体"/>
          <w:kern w:val="0"/>
          <w:sz w:val="32"/>
          <w:szCs w:val="32"/>
          <w:shd w:val="clear" w:color="auto" w:fill="FFFFFF"/>
        </w:rPr>
      </w:pPr>
      <w:bookmarkStart w:id="25" w:name="_Toc17894"/>
      <w:r>
        <w:rPr>
          <w:rFonts w:hint="eastAsia" w:ascii="黑体" w:hAnsi="黑体" w:eastAsia="黑体" w:cs="黑体"/>
          <w:kern w:val="0"/>
          <w:sz w:val="32"/>
          <w:szCs w:val="32"/>
          <w:shd w:val="clear" w:color="auto" w:fill="FFFFFF"/>
        </w:rPr>
        <w:t>八、政府性基金预算支出决算情况说明</w:t>
      </w:r>
      <w:bookmarkEnd w:id="25"/>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2021年政府性基金预算拨款支出0万元， 2021年本单位未在政府性基金预算拨款安排“三公经费”支出。</w:t>
      </w:r>
    </w:p>
    <w:p>
      <w:pPr>
        <w:widowControl/>
        <w:shd w:val="clear" w:color="auto" w:fill="FFFFFF"/>
        <w:spacing w:line="572" w:lineRule="exact"/>
        <w:ind w:firstLine="480"/>
        <w:rPr>
          <w:rFonts w:ascii="黑体" w:hAnsi="黑体" w:eastAsia="黑体" w:cs="黑体"/>
          <w:kern w:val="0"/>
          <w:sz w:val="32"/>
          <w:szCs w:val="32"/>
          <w:shd w:val="clear" w:color="auto" w:fill="FFFFFF"/>
        </w:rPr>
      </w:pPr>
      <w:bookmarkStart w:id="26" w:name="_Toc24032"/>
      <w:r>
        <w:rPr>
          <w:rFonts w:hint="eastAsia" w:ascii="黑体" w:hAnsi="黑体" w:eastAsia="黑体" w:cs="黑体"/>
          <w:kern w:val="0"/>
          <w:sz w:val="32"/>
          <w:szCs w:val="32"/>
          <w:shd w:val="clear" w:color="auto" w:fill="FFFFFF"/>
        </w:rPr>
        <w:t>九、国有资本经营预算支出决算情况说明</w:t>
      </w:r>
      <w:bookmarkEnd w:id="26"/>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2021年国有资本经营预算拨款支出0万元。</w:t>
      </w:r>
    </w:p>
    <w:p>
      <w:pPr>
        <w:widowControl/>
        <w:shd w:val="clear" w:color="auto" w:fill="FFFFFF"/>
        <w:spacing w:line="572" w:lineRule="exact"/>
        <w:ind w:firstLine="480"/>
        <w:rPr>
          <w:rFonts w:ascii="黑体" w:hAnsi="黑体" w:eastAsia="黑体" w:cs="黑体"/>
          <w:kern w:val="0"/>
          <w:sz w:val="32"/>
          <w:szCs w:val="32"/>
          <w:shd w:val="clear" w:color="auto" w:fill="FFFFFF"/>
        </w:rPr>
      </w:pPr>
      <w:bookmarkStart w:id="27" w:name="_Toc8567"/>
      <w:r>
        <w:rPr>
          <w:rFonts w:hint="eastAsia" w:ascii="黑体" w:hAnsi="黑体" w:eastAsia="黑体" w:cs="黑体"/>
          <w:kern w:val="0"/>
          <w:sz w:val="32"/>
          <w:szCs w:val="32"/>
          <w:shd w:val="clear" w:color="auto" w:fill="FFFFFF"/>
        </w:rPr>
        <w:t>十、预算绩效情况说明</w:t>
      </w:r>
      <w:bookmarkEnd w:id="27"/>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根据预算绩效管理要求，本部门对2021年四村一社区公共运行维护经费33万元的项目支出进行了自我评价，总体情况运行良好。但有个别村未按计划要求实施，扩大资金使用范围和用途。我乡已要求相关村进行整改，对来年的公共运行维护经费提出更高的要求和标准，并制定了相关的奖惩办法。</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按照预算绩效管理要求，本部门对2021年整体支出开展绩效自评，自评得分96分，存在的问题：</w:t>
      </w:r>
      <w:r>
        <w:rPr>
          <w:rFonts w:hint="eastAsia" w:ascii="仿宋_GB2312" w:hAnsi="仿宋_GB2312" w:eastAsia="仿宋_GB2312" w:cs="仿宋_GB2312"/>
          <w:b/>
          <w:bCs/>
          <w:kern w:val="0"/>
          <w:sz w:val="32"/>
          <w:szCs w:val="32"/>
          <w:shd w:val="clear" w:color="auto" w:fill="FFFFFF"/>
        </w:rPr>
        <w:t>一是</w:t>
      </w:r>
      <w:r>
        <w:rPr>
          <w:rFonts w:hint="eastAsia" w:ascii="仿宋_GB2312" w:hAnsi="仿宋_GB2312" w:eastAsia="仿宋_GB2312" w:cs="仿宋_GB2312"/>
          <w:kern w:val="0"/>
          <w:sz w:val="32"/>
          <w:szCs w:val="32"/>
          <w:shd w:val="clear" w:color="auto" w:fill="FFFFFF"/>
        </w:rPr>
        <w:t>对绩效评价的认识还有待提高，仍然存在对绩效评价重视不够的问题，认为资金支付出去了，绩效评价可有可无；</w:t>
      </w:r>
      <w:r>
        <w:rPr>
          <w:rFonts w:hint="eastAsia" w:ascii="仿宋_GB2312" w:hAnsi="仿宋_GB2312" w:eastAsia="仿宋_GB2312" w:cs="仿宋_GB2312"/>
          <w:b/>
          <w:bCs/>
          <w:kern w:val="0"/>
          <w:sz w:val="32"/>
          <w:szCs w:val="32"/>
          <w:shd w:val="clear" w:color="auto" w:fill="FFFFFF"/>
        </w:rPr>
        <w:t>二是</w:t>
      </w:r>
      <w:r>
        <w:rPr>
          <w:rFonts w:hint="eastAsia" w:ascii="仿宋_GB2312" w:hAnsi="仿宋_GB2312" w:eastAsia="仿宋_GB2312" w:cs="仿宋_GB2312"/>
          <w:kern w:val="0"/>
          <w:sz w:val="32"/>
          <w:szCs w:val="32"/>
          <w:shd w:val="clear" w:color="auto" w:fill="FFFFFF"/>
        </w:rPr>
        <w:t>对预算执行的重视仍然不到位，对预算约束力的约束性仍然未能适应，部门领导和职员对财务上执行的预算管理行为仍然存在不理解不支持等各种误会；</w:t>
      </w:r>
      <w:r>
        <w:rPr>
          <w:rFonts w:hint="eastAsia" w:ascii="仿宋_GB2312" w:hAnsi="仿宋_GB2312" w:eastAsia="仿宋_GB2312" w:cs="仿宋_GB2312"/>
          <w:b/>
          <w:bCs/>
          <w:kern w:val="0"/>
          <w:sz w:val="32"/>
          <w:szCs w:val="32"/>
          <w:shd w:val="clear" w:color="auto" w:fill="FFFFFF"/>
        </w:rPr>
        <w:t>三是</w:t>
      </w:r>
      <w:r>
        <w:rPr>
          <w:rFonts w:hint="eastAsia" w:ascii="仿宋_GB2312" w:hAnsi="仿宋_GB2312" w:eastAsia="仿宋_GB2312" w:cs="仿宋_GB2312"/>
          <w:kern w:val="0"/>
          <w:sz w:val="32"/>
          <w:szCs w:val="32"/>
          <w:shd w:val="clear" w:color="auto" w:fill="FFFFFF"/>
        </w:rPr>
        <w:t>对内控制度的执行不够，执行效果不理想，对资金使用管理的三重一大制度执行不到位，对个别项目资金的安排拨付通过三重一大制度上会的工作还有待加强。下一步改进措施：</w:t>
      </w:r>
      <w:r>
        <w:rPr>
          <w:rFonts w:hint="eastAsia" w:ascii="仿宋_GB2312" w:hAnsi="仿宋_GB2312" w:eastAsia="仿宋_GB2312" w:cs="仿宋_GB2312"/>
          <w:b/>
          <w:bCs/>
          <w:kern w:val="0"/>
          <w:sz w:val="32"/>
          <w:szCs w:val="32"/>
          <w:shd w:val="clear" w:color="auto" w:fill="FFFFFF"/>
        </w:rPr>
        <w:t>一是</w:t>
      </w:r>
      <w:r>
        <w:rPr>
          <w:rFonts w:hint="eastAsia" w:ascii="仿宋_GB2312" w:hAnsi="仿宋_GB2312" w:eastAsia="仿宋_GB2312" w:cs="仿宋_GB2312"/>
          <w:kern w:val="0"/>
          <w:sz w:val="32"/>
          <w:szCs w:val="32"/>
          <w:shd w:val="clear" w:color="auto" w:fill="FFFFFF"/>
        </w:rPr>
        <w:t>不断学习业务，加强对项目和部门绩效评价的认识和重视程度，要把绩效管理与项目建设、部门支出管理等有机结合；</w:t>
      </w:r>
      <w:r>
        <w:rPr>
          <w:rFonts w:hint="eastAsia" w:ascii="仿宋_GB2312" w:hAnsi="仿宋_GB2312" w:eastAsia="仿宋_GB2312" w:cs="仿宋_GB2312"/>
          <w:b/>
          <w:bCs/>
          <w:kern w:val="0"/>
          <w:sz w:val="32"/>
          <w:szCs w:val="32"/>
          <w:shd w:val="clear" w:color="auto" w:fill="FFFFFF"/>
        </w:rPr>
        <w:t>二是</w:t>
      </w:r>
      <w:r>
        <w:rPr>
          <w:rFonts w:hint="eastAsia" w:ascii="仿宋_GB2312" w:hAnsi="仿宋_GB2312" w:eastAsia="仿宋_GB2312" w:cs="仿宋_GB2312"/>
          <w:kern w:val="0"/>
          <w:sz w:val="32"/>
          <w:szCs w:val="32"/>
          <w:shd w:val="clear" w:color="auto" w:fill="FFFFFF"/>
        </w:rPr>
        <w:t>认真学习预算法，加大宣传力度，严格执行预算，加强预算管理，让预算切实深深融入到日常业务工作当中去，让预算约束性真实体现在财政管理之中；</w:t>
      </w:r>
      <w:r>
        <w:rPr>
          <w:rFonts w:hint="eastAsia" w:ascii="仿宋_GB2312" w:hAnsi="仿宋_GB2312" w:eastAsia="仿宋_GB2312" w:cs="仿宋_GB2312"/>
          <w:b/>
          <w:bCs/>
          <w:kern w:val="0"/>
          <w:sz w:val="32"/>
          <w:szCs w:val="32"/>
          <w:shd w:val="clear" w:color="auto" w:fill="FFFFFF"/>
        </w:rPr>
        <w:t>三是</w:t>
      </w:r>
      <w:r>
        <w:rPr>
          <w:rFonts w:hint="eastAsia" w:ascii="仿宋_GB2312" w:hAnsi="仿宋_GB2312" w:eastAsia="仿宋_GB2312" w:cs="仿宋_GB2312"/>
          <w:kern w:val="0"/>
          <w:sz w:val="32"/>
          <w:szCs w:val="32"/>
          <w:shd w:val="clear" w:color="auto" w:fill="FFFFFF"/>
        </w:rPr>
        <w:t>认真加强内控制度的执行，加强财务人员的技能水平，严格按照内控制度的要求执行各种管理环节，切实把内控制度落实好，把资金管理的日常业务做到最好，确保国家财政资金的经济效益和社会效益。</w:t>
      </w:r>
    </w:p>
    <w:tbl>
      <w:tblPr>
        <w:tblStyle w:val="11"/>
        <w:tblpPr w:vertAnchor="text" w:horzAnchor="page" w:tblpX="2049" w:tblpY="860"/>
        <w:tblW w:w="796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46"/>
        <w:gridCol w:w="923"/>
        <w:gridCol w:w="659"/>
        <w:gridCol w:w="240"/>
        <w:gridCol w:w="1677"/>
        <w:gridCol w:w="324"/>
        <w:gridCol w:w="1581"/>
        <w:gridCol w:w="360"/>
        <w:gridCol w:w="15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968" w:type="dxa"/>
            <w:gridSpan w:val="9"/>
            <w:tcBorders>
              <w:top w:val="single" w:color="000000" w:sz="8" w:space="0"/>
              <w:left w:val="single" w:color="000000" w:sz="8" w:space="0"/>
              <w:bottom w:val="single" w:color="000000" w:sz="8" w:space="0"/>
              <w:right w:val="single" w:color="000000" w:sz="8"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b/>
                <w:bCs/>
                <w:color w:val="000000"/>
                <w:sz w:val="36"/>
                <w:szCs w:val="36"/>
              </w:rPr>
            </w:pPr>
            <w:r>
              <w:rPr>
                <w:rFonts w:hint="eastAsia" w:ascii="Times New Roman" w:hAnsi="Times New Roman" w:eastAsia="仿宋" w:cs="仿宋"/>
                <w:b/>
                <w:bCs/>
                <w:color w:val="000000"/>
                <w:sz w:val="36"/>
                <w:szCs w:val="36"/>
              </w:rPr>
              <w:t>项目绩效目标完成情况表</w:t>
            </w:r>
          </w:p>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sz w:val="36"/>
                <w:szCs w:val="36"/>
              </w:rPr>
              <w:t>(2021年度)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228" w:type="dxa"/>
            <w:gridSpan w:val="3"/>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项目名称</w:t>
            </w:r>
          </w:p>
        </w:tc>
        <w:tc>
          <w:tcPr>
            <w:tcW w:w="5740" w:type="dxa"/>
            <w:gridSpan w:val="6"/>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基层活动和公共服务运行经费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228" w:type="dxa"/>
            <w:gridSpan w:val="3"/>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预算单位</w:t>
            </w:r>
          </w:p>
        </w:tc>
        <w:tc>
          <w:tcPr>
            <w:tcW w:w="5740" w:type="dxa"/>
            <w:gridSpan w:val="6"/>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广元市昭化区青牛镇人民政府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6" w:type="dxa"/>
            <w:vMerge w:val="restart"/>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预算执行情况(万元)</w:t>
            </w:r>
          </w:p>
        </w:tc>
        <w:tc>
          <w:tcPr>
            <w:tcW w:w="1582"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预算数:</w:t>
            </w: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33万元</w:t>
            </w:r>
          </w:p>
        </w:tc>
        <w:tc>
          <w:tcPr>
            <w:tcW w:w="1905"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执行数:</w:t>
            </w:r>
          </w:p>
        </w:tc>
        <w:tc>
          <w:tcPr>
            <w:tcW w:w="1918"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33万元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1582"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其中-财政拨款:</w:t>
            </w: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33万元</w:t>
            </w:r>
          </w:p>
        </w:tc>
        <w:tc>
          <w:tcPr>
            <w:tcW w:w="1905"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其中-财政拨款:</w:t>
            </w:r>
          </w:p>
        </w:tc>
        <w:tc>
          <w:tcPr>
            <w:tcW w:w="1918"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33万元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1582"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其它资金:</w:t>
            </w: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0</w:t>
            </w:r>
          </w:p>
        </w:tc>
        <w:tc>
          <w:tcPr>
            <w:tcW w:w="1905"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其它资金:</w:t>
            </w:r>
          </w:p>
        </w:tc>
        <w:tc>
          <w:tcPr>
            <w:tcW w:w="1918"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rPr>
                <w:rFonts w:ascii="Times New Roman" w:hAnsi="Times New Roman" w:eastAsia="仿宋" w:cs="仿宋"/>
              </w:rPr>
            </w:pPr>
            <w:r>
              <w:rPr>
                <w:rFonts w:hint="eastAsia" w:ascii="Times New Roman" w:hAnsi="Times New Roman" w:eastAsia="仿宋" w:cs="仿宋"/>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6" w:type="dxa"/>
            <w:vMerge w:val="restart"/>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年度目标完成情况</w:t>
            </w:r>
          </w:p>
        </w:tc>
        <w:tc>
          <w:tcPr>
            <w:tcW w:w="3499" w:type="dxa"/>
            <w:gridSpan w:val="4"/>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预期目标</w:t>
            </w:r>
          </w:p>
        </w:tc>
        <w:tc>
          <w:tcPr>
            <w:tcW w:w="3823" w:type="dxa"/>
            <w:gridSpan w:val="4"/>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实际完成目标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3499" w:type="dxa"/>
            <w:gridSpan w:val="4"/>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ascii="Times New Roman" w:hAnsi="Times New Roman" w:eastAsia="仿宋" w:cs="仿宋"/>
                <w:color w:val="000000"/>
              </w:rPr>
              <w:t>加强基层组织建设，提高公共运行服务保障水平和社会治理能力，按照《广元市昭化区基层活动和公共服务运行经费使用管理办法》，青牛镇2021年12月之前完成组织活动场所维护2个，全年组织各类培训及走访慰问活动60次，全年垃圾共清运</w:t>
            </w:r>
            <w:r>
              <w:rPr>
                <w:rFonts w:hint="eastAsia" w:ascii="Times New Roman" w:hAnsi="Times New Roman" w:eastAsia="仿宋" w:cs="仿宋"/>
                <w:color w:val="000000"/>
              </w:rPr>
              <w:t>360</w:t>
            </w:r>
            <w:r>
              <w:rPr>
                <w:rFonts w:ascii="Times New Roman" w:hAnsi="Times New Roman" w:eastAsia="仿宋" w:cs="仿宋"/>
                <w:color w:val="000000"/>
              </w:rPr>
              <w:t>次，村容村貌良好，无任何“脏乱差”现象发生，完成5个村居活动场所基础设施维护，青牛镇农工运成本为</w:t>
            </w:r>
            <w:r>
              <w:rPr>
                <w:rFonts w:hint="eastAsia" w:ascii="Times New Roman" w:hAnsi="Times New Roman" w:eastAsia="仿宋" w:cs="仿宋"/>
                <w:color w:val="000000"/>
              </w:rPr>
              <w:t>33</w:t>
            </w:r>
            <w:r>
              <w:rPr>
                <w:rFonts w:ascii="Times New Roman" w:hAnsi="Times New Roman" w:eastAsia="仿宋" w:cs="仿宋"/>
                <w:color w:val="000000"/>
              </w:rPr>
              <w:t>万元，覆盖对象4个村1个社区，19个村民小组，共6076人，群众满意度达到95%以上。</w:t>
            </w:r>
          </w:p>
        </w:tc>
        <w:tc>
          <w:tcPr>
            <w:tcW w:w="3823" w:type="dxa"/>
            <w:gridSpan w:val="4"/>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both"/>
              <w:textAlignment w:val="center"/>
              <w:rPr>
                <w:rFonts w:ascii="Times New Roman" w:hAnsi="Times New Roman" w:eastAsia="仿宋" w:cs="仿宋"/>
              </w:rPr>
            </w:pPr>
            <w:r>
              <w:rPr>
                <w:rFonts w:ascii="Times New Roman" w:hAnsi="Times New Roman" w:eastAsia="仿宋" w:cs="仿宋"/>
                <w:color w:val="000000"/>
              </w:rPr>
              <w:t>加强基层组织建设，提高公共运行服务保障水平和社会治理能力，按照《广元市昭化区基层活动和公共服务运行经费使用管理办法》，青牛镇2021年12月之前完成组织活动场所维护2个，全年组织各类培训及走访慰问活动60次，全年垃圾共清运</w:t>
            </w:r>
            <w:r>
              <w:rPr>
                <w:rFonts w:hint="eastAsia" w:ascii="Times New Roman" w:hAnsi="Times New Roman" w:eastAsia="仿宋" w:cs="仿宋"/>
                <w:color w:val="000000"/>
              </w:rPr>
              <w:t>360</w:t>
            </w:r>
            <w:r>
              <w:rPr>
                <w:rFonts w:ascii="Times New Roman" w:hAnsi="Times New Roman" w:eastAsia="仿宋" w:cs="仿宋"/>
                <w:color w:val="000000"/>
              </w:rPr>
              <w:t>次，村容村貌良好，无任何“脏乱差”现象发生，完成5个村居活动场所基础设施维护，青牛镇农工运成本为</w:t>
            </w:r>
            <w:r>
              <w:rPr>
                <w:rFonts w:hint="eastAsia" w:ascii="Times New Roman" w:hAnsi="Times New Roman" w:eastAsia="仿宋" w:cs="仿宋"/>
                <w:color w:val="000000"/>
              </w:rPr>
              <w:t>33</w:t>
            </w:r>
            <w:r>
              <w:rPr>
                <w:rFonts w:ascii="Times New Roman" w:hAnsi="Times New Roman" w:eastAsia="仿宋" w:cs="仿宋"/>
                <w:color w:val="000000"/>
              </w:rPr>
              <w:t>万元，覆盖对象4个村1个社区，19个村民小组，共6076人，群众满意度达到95%以上。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6" w:type="dxa"/>
            <w:vMerge w:val="restart"/>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rPr>
              <w:t> </w:t>
            </w:r>
          </w:p>
          <w:p>
            <w:pPr>
              <w:pStyle w:val="10"/>
              <w:widowControl/>
              <w:spacing w:before="60" w:beforeAutospacing="0" w:after="60" w:afterAutospacing="0" w:line="360" w:lineRule="atLeast"/>
              <w:jc w:val="both"/>
              <w:rPr>
                <w:rFonts w:ascii="Times New Roman" w:hAnsi="Times New Roman" w:eastAsia="仿宋" w:cs="仿宋"/>
              </w:rPr>
            </w:pPr>
            <w:r>
              <w:rPr>
                <w:rFonts w:hint="eastAsia" w:ascii="Times New Roman" w:hAnsi="Times New Roman" w:eastAsia="仿宋" w:cs="仿宋"/>
              </w:rPr>
              <w:t> </w:t>
            </w:r>
          </w:p>
          <w:p>
            <w:pPr>
              <w:pStyle w:val="10"/>
              <w:widowControl/>
              <w:spacing w:before="60" w:beforeAutospacing="0" w:after="60" w:afterAutospacing="0" w:line="360" w:lineRule="atLeast"/>
              <w:jc w:val="both"/>
              <w:rPr>
                <w:rFonts w:ascii="Times New Roman" w:hAnsi="Times New Roman" w:eastAsia="仿宋" w:cs="仿宋"/>
              </w:rPr>
            </w:pPr>
            <w:r>
              <w:rPr>
                <w:rFonts w:hint="eastAsia" w:ascii="Times New Roman" w:hAnsi="Times New Roman" w:eastAsia="仿宋" w:cs="仿宋"/>
              </w:rPr>
              <w:t> </w:t>
            </w:r>
          </w:p>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rPr>
              <w:t>绩效指标完成情况</w:t>
            </w:r>
          </w:p>
          <w:p>
            <w:pPr>
              <w:pStyle w:val="10"/>
              <w:widowControl/>
              <w:spacing w:before="60" w:beforeAutospacing="0" w:after="60" w:afterAutospacing="0" w:line="360" w:lineRule="atLeast"/>
              <w:jc w:val="center"/>
              <w:rPr>
                <w:rFonts w:ascii="Times New Roman" w:hAnsi="Times New Roman" w:eastAsia="仿宋" w:cs="仿宋"/>
              </w:rPr>
            </w:pPr>
            <w:r>
              <w:rPr>
                <w:rFonts w:hint="eastAsia" w:ascii="Times New Roman" w:hAnsi="Times New Roman" w:eastAsia="仿宋" w:cs="仿宋"/>
                <w:color w:val="000000"/>
              </w:rPr>
              <w:t> </w:t>
            </w:r>
          </w:p>
          <w:p>
            <w:pPr>
              <w:pStyle w:val="10"/>
              <w:widowControl/>
              <w:spacing w:before="60" w:beforeAutospacing="0" w:after="60" w:afterAutospacing="0" w:line="360" w:lineRule="atLeast"/>
              <w:jc w:val="center"/>
              <w:rPr>
                <w:rFonts w:ascii="Times New Roman" w:hAnsi="Times New Roman" w:eastAsia="仿宋" w:cs="仿宋"/>
              </w:rPr>
            </w:pPr>
            <w:r>
              <w:rPr>
                <w:rFonts w:hint="eastAsia" w:ascii="Times New Roman" w:hAnsi="Times New Roman" w:eastAsia="仿宋" w:cs="仿宋"/>
                <w:color w:val="000000"/>
              </w:rPr>
              <w:t> </w:t>
            </w:r>
          </w:p>
          <w:p>
            <w:pPr>
              <w:pStyle w:val="10"/>
              <w:widowControl/>
              <w:spacing w:before="60" w:beforeAutospacing="0" w:after="60" w:afterAutospacing="0" w:line="360" w:lineRule="atLeast"/>
              <w:jc w:val="center"/>
              <w:rPr>
                <w:rFonts w:ascii="Times New Roman" w:hAnsi="Times New Roman" w:eastAsia="仿宋" w:cs="仿宋"/>
              </w:rPr>
            </w:pPr>
            <w:r>
              <w:rPr>
                <w:rFonts w:hint="eastAsia" w:ascii="Times New Roman" w:hAnsi="Times New Roman" w:eastAsia="仿宋" w:cs="仿宋"/>
                <w:color w:val="000000"/>
              </w:rPr>
              <w:t>绩效指标完成情况</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一级指标</w:t>
            </w:r>
          </w:p>
        </w:tc>
        <w:tc>
          <w:tcPr>
            <w:tcW w:w="899"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二级指标</w:t>
            </w:r>
          </w:p>
        </w:tc>
        <w:tc>
          <w:tcPr>
            <w:tcW w:w="200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三级指标</w:t>
            </w:r>
          </w:p>
        </w:tc>
        <w:tc>
          <w:tcPr>
            <w:tcW w:w="194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预期指标值(包含数字及文字描述)</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实际完成指标值(包含数字及文字描述)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923" w:type="dxa"/>
            <w:vMerge w:val="restart"/>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rPr>
              <w:t> </w:t>
            </w:r>
          </w:p>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rPr>
              <w:t>项目完成指标</w:t>
            </w:r>
          </w:p>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rPr>
              <w:t> </w:t>
            </w:r>
          </w:p>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rPr>
              <w:t> </w:t>
            </w:r>
          </w:p>
          <w:p>
            <w:pPr>
              <w:pStyle w:val="10"/>
              <w:widowControl/>
              <w:spacing w:before="60" w:beforeAutospacing="0" w:after="60" w:afterAutospacing="0" w:line="360" w:lineRule="atLeast"/>
              <w:jc w:val="both"/>
              <w:rPr>
                <w:rFonts w:ascii="Times New Roman" w:hAnsi="Times New Roman" w:eastAsia="仿宋" w:cs="仿宋"/>
              </w:rPr>
            </w:pPr>
            <w:r>
              <w:rPr>
                <w:rFonts w:hint="eastAsia" w:ascii="Times New Roman" w:hAnsi="Times New Roman" w:eastAsia="仿宋" w:cs="仿宋"/>
                <w:color w:val="000000"/>
              </w:rPr>
              <w:t> </w:t>
            </w:r>
          </w:p>
          <w:p>
            <w:pPr>
              <w:pStyle w:val="10"/>
              <w:widowControl/>
              <w:spacing w:before="60" w:beforeAutospacing="0" w:after="60" w:afterAutospacing="0" w:line="360" w:lineRule="atLeast"/>
              <w:jc w:val="both"/>
              <w:rPr>
                <w:rFonts w:ascii="Times New Roman" w:hAnsi="Times New Roman" w:eastAsia="仿宋" w:cs="仿宋"/>
              </w:rPr>
            </w:pPr>
            <w:r>
              <w:rPr>
                <w:rFonts w:hint="eastAsia" w:ascii="Times New Roman" w:hAnsi="Times New Roman" w:eastAsia="仿宋" w:cs="仿宋"/>
                <w:color w:val="000000"/>
              </w:rPr>
              <w:t>项目完成指标</w:t>
            </w:r>
          </w:p>
        </w:tc>
        <w:tc>
          <w:tcPr>
            <w:tcW w:w="899"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 </w:t>
            </w:r>
          </w:p>
          <w:p>
            <w:pPr>
              <w:pStyle w:val="10"/>
              <w:widowControl/>
              <w:spacing w:before="60" w:beforeAutospacing="0" w:after="60" w:afterAutospacing="0" w:line="360" w:lineRule="atLeast"/>
              <w:jc w:val="both"/>
              <w:rPr>
                <w:rFonts w:ascii="Times New Roman" w:hAnsi="Times New Roman" w:eastAsia="仿宋" w:cs="仿宋"/>
              </w:rPr>
            </w:pPr>
            <w:r>
              <w:rPr>
                <w:rFonts w:hint="eastAsia" w:ascii="Times New Roman" w:hAnsi="Times New Roman" w:eastAsia="仿宋" w:cs="仿宋"/>
              </w:rPr>
              <w:t> </w:t>
            </w:r>
          </w:p>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数量指标</w:t>
            </w:r>
          </w:p>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数量指标</w:t>
            </w:r>
          </w:p>
        </w:tc>
        <w:tc>
          <w:tcPr>
            <w:tcW w:w="200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村组织活动场所维护个数</w:t>
            </w:r>
          </w:p>
        </w:tc>
        <w:tc>
          <w:tcPr>
            <w:tcW w:w="194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2个</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2个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89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200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村组织活动开展次数</w:t>
            </w:r>
          </w:p>
        </w:tc>
        <w:tc>
          <w:tcPr>
            <w:tcW w:w="194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60次</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60次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89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200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垃圾清运次数</w:t>
            </w:r>
          </w:p>
        </w:tc>
        <w:tc>
          <w:tcPr>
            <w:tcW w:w="194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360次</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360次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899"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 </w:t>
            </w:r>
          </w:p>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质量指标</w:t>
            </w:r>
          </w:p>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 </w:t>
            </w:r>
          </w:p>
        </w:tc>
        <w:tc>
          <w:tcPr>
            <w:tcW w:w="200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村容村貌、基础设施配备率</w:t>
            </w:r>
          </w:p>
        </w:tc>
        <w:tc>
          <w:tcPr>
            <w:tcW w:w="194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100%</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89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200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资金使用合理合规率</w:t>
            </w:r>
          </w:p>
        </w:tc>
        <w:tc>
          <w:tcPr>
            <w:tcW w:w="194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100%</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89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jc w:val="center"/>
              <w:rPr>
                <w:rFonts w:ascii="Times New Roman" w:hAnsi="Times New Roman" w:eastAsia="仿宋" w:cs="仿宋"/>
                <w:sz w:val="24"/>
              </w:rPr>
            </w:pPr>
          </w:p>
        </w:tc>
        <w:tc>
          <w:tcPr>
            <w:tcW w:w="200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绩效评价得分</w:t>
            </w:r>
          </w:p>
        </w:tc>
        <w:tc>
          <w:tcPr>
            <w:tcW w:w="194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≥95分</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0"/>
              <w:widowControl/>
              <w:spacing w:before="60" w:beforeAutospacing="0" w:after="60" w:afterAutospacing="0" w:line="360" w:lineRule="atLeast"/>
              <w:jc w:val="center"/>
              <w:textAlignment w:val="center"/>
              <w:rPr>
                <w:rFonts w:ascii="Times New Roman" w:hAnsi="Times New Roman" w:eastAsia="仿宋" w:cs="仿宋"/>
              </w:rPr>
            </w:pPr>
            <w:r>
              <w:rPr>
                <w:rFonts w:hint="eastAsia" w:ascii="Times New Roman" w:hAnsi="Times New Roman" w:eastAsia="仿宋" w:cs="仿宋"/>
                <w:color w:val="000000"/>
              </w:rPr>
              <w:t>≥95分</w:t>
            </w:r>
          </w:p>
        </w:tc>
      </w:tr>
    </w:tbl>
    <w:p>
      <w:pPr>
        <w:widowControl/>
        <w:shd w:val="clear" w:color="auto" w:fill="FFFFFF"/>
        <w:spacing w:line="572" w:lineRule="exact"/>
        <w:ind w:firstLine="480"/>
        <w:rPr>
          <w:rFonts w:ascii="黑体" w:hAnsi="黑体" w:eastAsia="黑体" w:cs="黑体"/>
          <w:kern w:val="0"/>
          <w:sz w:val="32"/>
          <w:szCs w:val="32"/>
          <w:shd w:val="clear" w:color="auto" w:fill="FFFFFF"/>
        </w:rPr>
      </w:pPr>
      <w:bookmarkStart w:id="28" w:name="_Toc29519"/>
      <w:r>
        <w:rPr>
          <w:rFonts w:hint="eastAsia" w:ascii="黑体" w:hAnsi="黑体" w:eastAsia="黑体" w:cs="黑体"/>
          <w:kern w:val="0"/>
          <w:sz w:val="32"/>
          <w:szCs w:val="32"/>
          <w:shd w:val="clear" w:color="auto" w:fill="FFFFFF"/>
        </w:rPr>
        <w:t>十一、其他重要事项的情况说明</w:t>
      </w:r>
      <w:bookmarkEnd w:id="28"/>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（一）机关运行经费支出情况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2021年，机关运行经费支出65.28万元，比2020年60.72万元增加4.56万元，增加0.075%。主要原因是今年公用支出增加。</w:t>
      </w:r>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（二）政府采购支出情况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2021年，政府采购支出总额0万元。</w:t>
      </w:r>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（三）国有资产占有使用情况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截至2021年12月31日，共有车辆0辆。</w:t>
      </w:r>
    </w:p>
    <w:p>
      <w:pPr>
        <w:widowControl/>
        <w:shd w:val="clear" w:color="auto" w:fill="FFFFFF"/>
        <w:ind w:firstLine="480"/>
        <w:jc w:val="center"/>
        <w:rPr>
          <w:rFonts w:ascii="黑体" w:hAnsi="黑体" w:eastAsia="黑体" w:cs="黑体"/>
          <w:sz w:val="44"/>
          <w:szCs w:val="44"/>
        </w:rPr>
      </w:pPr>
      <w:bookmarkStart w:id="29" w:name="_Toc10847"/>
    </w:p>
    <w:p>
      <w:pPr>
        <w:widowControl/>
        <w:shd w:val="clear" w:color="auto" w:fill="FFFFFF"/>
        <w:ind w:firstLine="480"/>
        <w:jc w:val="center"/>
        <w:rPr>
          <w:rFonts w:ascii="黑体" w:hAnsi="黑体" w:eastAsia="黑体" w:cs="黑体"/>
          <w:sz w:val="44"/>
          <w:szCs w:val="44"/>
        </w:rPr>
      </w:pPr>
      <w:r>
        <w:rPr>
          <w:rFonts w:hint="eastAsia" w:ascii="黑体" w:hAnsi="黑体" w:eastAsia="黑体" w:cs="黑体"/>
          <w:sz w:val="44"/>
          <w:szCs w:val="44"/>
        </w:rPr>
        <w:t>第三部分名词解释</w:t>
      </w:r>
      <w:bookmarkEnd w:id="29"/>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1.财政拨款收入：指单位从同级财政部门取得的财政预算资金。</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2.事业收入：指事业单位开展专业业务活动及辅助活动取得的收入。</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3.经营收入：指事业单位在专业业务活动及其辅助活动之外开展非独立核算经营活动取得的收入。</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4.其他收入：指单位取得的除上述收入以外的各项收入。</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6.年初结转和结余：指以前年度尚未完成、结转到本年按有关规定继续使用的资金。</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7.结余分配：指事业单位按照事业单位会计制度的规定从非财政补助结余中分配的事业基金和职工福利基金等。</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8、年末结转和结余：指单位按有关规定结转到下年或以后年度继续使用的资金。</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9.基本支出：指为保障机构正常运转、完成日常工作任务而发生的人员支出和公用支出。</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10.项目支出：指在基本支出之外为完成特定行政任务和事业发展目标所发生的支出。</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11.经营支出：指事业单位在专业业务活动及其辅助活动之外开展非独立核算经营活动发生的支出。</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widowControl/>
        <w:shd w:val="clear" w:color="auto" w:fill="FFFFFF"/>
        <w:ind w:firstLine="480"/>
        <w:jc w:val="center"/>
        <w:rPr>
          <w:rFonts w:ascii="宋体" w:hAnsi="宋体" w:eastAsia="宋体" w:cs="宋体"/>
          <w:sz w:val="32"/>
          <w:szCs w:val="32"/>
        </w:rPr>
      </w:pPr>
    </w:p>
    <w:p>
      <w:pPr>
        <w:widowControl/>
        <w:shd w:val="clear" w:color="auto" w:fill="FFFFFF"/>
        <w:ind w:firstLine="480"/>
        <w:jc w:val="center"/>
        <w:rPr>
          <w:rFonts w:ascii="黑体" w:hAnsi="黑体" w:eastAsia="黑体" w:cs="黑体"/>
          <w:sz w:val="44"/>
          <w:szCs w:val="44"/>
        </w:rPr>
      </w:pPr>
      <w:bookmarkStart w:id="30" w:name="_Toc14363"/>
      <w:r>
        <w:rPr>
          <w:rFonts w:hint="eastAsia" w:ascii="黑体" w:hAnsi="黑体" w:eastAsia="黑体" w:cs="黑体"/>
          <w:sz w:val="44"/>
          <w:szCs w:val="44"/>
        </w:rPr>
        <w:t>第四部分  附件</w:t>
      </w:r>
      <w:bookmarkEnd w:id="30"/>
    </w:p>
    <w:p>
      <w:pPr>
        <w:widowControl/>
        <w:shd w:val="clear" w:color="auto" w:fill="FFFFFF"/>
        <w:ind w:firstLine="480"/>
        <w:jc w:val="left"/>
        <w:rPr>
          <w:rFonts w:ascii="Arial" w:hAnsi="Arial"/>
          <w:sz w:val="30"/>
          <w:szCs w:val="30"/>
        </w:rPr>
      </w:pPr>
      <w:bookmarkStart w:id="31" w:name="_Toc3087"/>
      <w:r>
        <w:rPr>
          <w:rFonts w:ascii="Arial" w:hAnsi="Arial"/>
          <w:sz w:val="30"/>
          <w:szCs w:val="30"/>
        </w:rPr>
        <w:t>附件1</w:t>
      </w:r>
      <w:bookmarkEnd w:id="31"/>
    </w:p>
    <w:p>
      <w:pPr>
        <w:widowControl/>
        <w:shd w:val="clear" w:color="auto" w:fill="FFFFFF"/>
        <w:ind w:firstLine="480"/>
        <w:jc w:val="center"/>
        <w:rPr>
          <w:rFonts w:ascii="宋体" w:hAnsi="宋体" w:eastAsia="宋体" w:cs="宋体"/>
          <w:sz w:val="32"/>
          <w:szCs w:val="32"/>
        </w:rPr>
      </w:pPr>
      <w:r>
        <w:rPr>
          <w:rFonts w:ascii="宋体" w:hAnsi="宋体" w:eastAsia="宋体" w:cs="宋体"/>
          <w:kern w:val="0"/>
          <w:sz w:val="32"/>
          <w:szCs w:val="32"/>
          <w:shd w:val="clear" w:color="auto" w:fill="FFFFFF"/>
        </w:rPr>
        <w:t>广元市昭化区青牛镇财政所</w:t>
      </w:r>
    </w:p>
    <w:p>
      <w:pPr>
        <w:widowControl/>
        <w:shd w:val="clear" w:color="auto" w:fill="FFFFFF"/>
        <w:ind w:firstLine="480"/>
        <w:jc w:val="center"/>
        <w:rPr>
          <w:rFonts w:ascii="宋体" w:hAnsi="宋体" w:eastAsia="宋体" w:cs="宋体"/>
          <w:sz w:val="32"/>
          <w:szCs w:val="32"/>
        </w:rPr>
      </w:pPr>
      <w:r>
        <w:rPr>
          <w:rFonts w:ascii="宋体" w:hAnsi="宋体" w:eastAsia="宋体" w:cs="宋体"/>
          <w:kern w:val="0"/>
          <w:sz w:val="32"/>
          <w:szCs w:val="32"/>
          <w:shd w:val="clear" w:color="auto" w:fill="FFFFFF"/>
        </w:rPr>
        <w:t>关于2021年财政项目支出绩效评价</w:t>
      </w:r>
    </w:p>
    <w:p>
      <w:pPr>
        <w:widowControl/>
        <w:shd w:val="clear" w:color="auto" w:fill="FFFFFF"/>
        <w:ind w:firstLine="480"/>
        <w:jc w:val="center"/>
        <w:rPr>
          <w:rFonts w:ascii="宋体" w:hAnsi="宋体" w:eastAsia="宋体" w:cs="宋体"/>
          <w:sz w:val="32"/>
          <w:szCs w:val="32"/>
        </w:rPr>
      </w:pPr>
      <w:r>
        <w:rPr>
          <w:rFonts w:ascii="宋体" w:hAnsi="宋体" w:eastAsia="宋体" w:cs="宋体"/>
          <w:kern w:val="0"/>
          <w:sz w:val="32"/>
          <w:szCs w:val="32"/>
          <w:shd w:val="clear" w:color="auto" w:fill="FFFFFF"/>
        </w:rPr>
        <w:t>报</w:t>
      </w:r>
      <w:r>
        <w:rPr>
          <w:rFonts w:hint="eastAsia" w:ascii="宋体" w:hAnsi="宋体" w:eastAsia="宋体" w:cs="宋体"/>
          <w:kern w:val="0"/>
          <w:sz w:val="32"/>
          <w:szCs w:val="32"/>
          <w:shd w:val="clear" w:color="auto" w:fill="FFFFFF"/>
        </w:rPr>
        <w:t xml:space="preserve">  </w:t>
      </w:r>
      <w:r>
        <w:rPr>
          <w:rFonts w:ascii="宋体" w:hAnsi="宋体" w:eastAsia="宋体" w:cs="宋体"/>
          <w:kern w:val="0"/>
          <w:sz w:val="32"/>
          <w:szCs w:val="32"/>
          <w:shd w:val="clear" w:color="auto" w:fill="FFFFFF"/>
        </w:rPr>
        <w:t>告</w:t>
      </w:r>
    </w:p>
    <w:p>
      <w:pPr>
        <w:widowControl/>
        <w:shd w:val="clear" w:color="auto" w:fill="FFFFFF"/>
        <w:spacing w:line="572" w:lineRule="exact"/>
        <w:ind w:firstLine="48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一、项目概况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青牛镇地处昭化区最南端，与剑阁县鹤龄镇接壤，辖4村1社区19组，距昭化城区136公里，距广元城区115公里，单位基本性质为行政单位，财政预算层次是一级预算单位，执行的是行政单位会计制度。</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农村公共服务运行维护项目2021年涉及4村1社区，青牛镇共实施运维项目24个33万元，其中：公共服务运行24个33万元（其中：农村基础设施环境类12个10万元、农业生产服务类4个4万元、农村生活服务类3个2万元、农村社会管理类5个17万元），于2021年4月21日动工，2021年12月23日竣工，本项目由各村民委员会自行实施。</w:t>
      </w:r>
    </w:p>
    <w:p>
      <w:pPr>
        <w:widowControl/>
        <w:shd w:val="clear" w:color="auto" w:fill="FFFFFF"/>
        <w:spacing w:line="572" w:lineRule="exact"/>
        <w:ind w:firstLine="48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二、项目资金使用及管理情况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（一）资金来源。</w:t>
      </w:r>
      <w:r>
        <w:rPr>
          <w:rFonts w:hint="eastAsia" w:ascii="仿宋_GB2312" w:hAnsi="仿宋_GB2312" w:eastAsia="仿宋_GB2312" w:cs="仿宋_GB2312"/>
          <w:kern w:val="0"/>
          <w:sz w:val="32"/>
          <w:szCs w:val="32"/>
          <w:shd w:val="clear" w:color="auto" w:fill="FFFFFF"/>
        </w:rPr>
        <w:t>农村公共服务运行维护由上级财政拨款。项目预算、项目建设资金33万元，区本级财政资金。截止到目前，共收到财政拨付项目33万元。</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（二）资金使用。</w:t>
      </w:r>
      <w:r>
        <w:rPr>
          <w:rFonts w:hint="eastAsia" w:ascii="仿宋_GB2312" w:hAnsi="仿宋_GB2312" w:eastAsia="仿宋_GB2312" w:cs="仿宋_GB2312"/>
          <w:kern w:val="0"/>
          <w:sz w:val="32"/>
          <w:szCs w:val="32"/>
          <w:shd w:val="clear" w:color="auto" w:fill="FFFFFF"/>
        </w:rPr>
        <w:t>应支付项目资金33万元。</w:t>
      </w:r>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（三）资金管理。</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农村公共服务运行维护项目资金采取授权支付形式，由财政所，按维护工项目进度严格按照项目资金管理办法对资金进行计划申请、划拨、使用，及时、规范对收支进行账务处理和会计核算。</w:t>
      </w:r>
    </w:p>
    <w:p>
      <w:pPr>
        <w:widowControl/>
        <w:shd w:val="clear" w:color="auto" w:fill="FFFFFF"/>
        <w:spacing w:line="572" w:lineRule="exact"/>
        <w:ind w:firstLine="48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三、项目实施及管理情况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（一）项目组织架构及实施流程。</w:t>
      </w:r>
      <w:r>
        <w:rPr>
          <w:rFonts w:hint="eastAsia" w:ascii="仿宋_GB2312" w:hAnsi="仿宋_GB2312" w:eastAsia="仿宋_GB2312" w:cs="仿宋_GB2312"/>
          <w:kern w:val="0"/>
          <w:sz w:val="32"/>
          <w:szCs w:val="32"/>
          <w:shd w:val="clear" w:color="auto" w:fill="FFFFFF"/>
        </w:rPr>
        <w:t>青牛镇党委、政府高度重视农村公共服务运行维目，并成立工作领导小组。</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组  长：</w:t>
      </w:r>
      <w:r>
        <w:rPr>
          <w:rFonts w:hint="eastAsia" w:ascii="仿宋_GB2312" w:hAnsi="仿宋_GB2312" w:eastAsia="仿宋_GB2312" w:cs="仿宋_GB2312"/>
          <w:kern w:val="0"/>
          <w:sz w:val="32"/>
          <w:szCs w:val="32"/>
          <w:shd w:val="clear" w:color="auto" w:fill="FFFFFF"/>
          <w:lang w:eastAsia="zh-CN"/>
        </w:rPr>
        <w:t>范</w:t>
      </w:r>
      <w:r>
        <w:rPr>
          <w:rFonts w:hint="eastAsia" w:ascii="仿宋_GB2312" w:hAnsi="仿宋_GB2312" w:eastAsia="仿宋_GB2312" w:cs="仿宋_GB2312"/>
          <w:kern w:val="0"/>
          <w:sz w:val="32"/>
          <w:szCs w:val="32"/>
          <w:shd w:val="clear" w:color="auto" w:fill="FFFFFF"/>
        </w:rPr>
        <w:t xml:space="preserve">  涛  镇党委书记</w:t>
      </w:r>
    </w:p>
    <w:p>
      <w:pPr>
        <w:widowControl/>
        <w:shd w:val="clear" w:color="auto" w:fill="FFFFFF"/>
        <w:spacing w:line="572" w:lineRule="exact"/>
        <w:ind w:firstLine="1683" w:firstLineChars="526"/>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何</w:t>
      </w:r>
      <w:r>
        <w:rPr>
          <w:rFonts w:hint="eastAsia" w:ascii="仿宋_GB2312" w:hAnsi="仿宋_GB2312" w:eastAsia="仿宋_GB2312" w:cs="仿宋_GB2312"/>
          <w:kern w:val="0"/>
          <w:sz w:val="32"/>
          <w:szCs w:val="32"/>
          <w:shd w:val="clear" w:color="auto" w:fill="FFFFFF"/>
          <w:lang w:val="en-US" w:eastAsia="zh-CN"/>
        </w:rPr>
        <w:t xml:space="preserve"> </w:t>
      </w:r>
      <w:bookmarkStart w:id="47" w:name="_GoBack"/>
      <w:bookmarkEnd w:id="47"/>
      <w:r>
        <w:rPr>
          <w:rFonts w:hint="eastAsia" w:ascii="仿宋_GB2312" w:hAnsi="仿宋_GB2312" w:eastAsia="仿宋_GB2312" w:cs="仿宋_GB2312"/>
          <w:kern w:val="0"/>
          <w:sz w:val="32"/>
          <w:szCs w:val="32"/>
          <w:shd w:val="clear" w:color="auto" w:fill="FFFFFF"/>
          <w:lang w:val="en-US" w:eastAsia="zh-CN"/>
        </w:rPr>
        <w:t xml:space="preserve"> </w:t>
      </w:r>
      <w:r>
        <w:rPr>
          <w:rFonts w:hint="eastAsia" w:ascii="仿宋_GB2312" w:hAnsi="仿宋_GB2312" w:eastAsia="仿宋_GB2312" w:cs="仿宋_GB2312"/>
          <w:kern w:val="0"/>
          <w:sz w:val="32"/>
          <w:szCs w:val="32"/>
          <w:shd w:val="clear" w:color="auto" w:fill="FFFFFF"/>
          <w:lang w:eastAsia="zh-CN"/>
        </w:rPr>
        <w:t>革</w:t>
      </w:r>
      <w:r>
        <w:rPr>
          <w:rFonts w:hint="eastAsia" w:ascii="仿宋_GB2312" w:hAnsi="仿宋_GB2312" w:eastAsia="仿宋_GB2312" w:cs="仿宋_GB2312"/>
          <w:kern w:val="0"/>
          <w:sz w:val="32"/>
          <w:szCs w:val="32"/>
          <w:shd w:val="clear" w:color="auto" w:fill="FFFFFF"/>
        </w:rPr>
        <w:t xml:space="preserve">   镇政府镇长</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副组长：杨洪彦  镇人大主席</w:t>
      </w:r>
    </w:p>
    <w:p>
      <w:pPr>
        <w:widowControl/>
        <w:shd w:val="clear" w:color="auto" w:fill="FFFFFF"/>
        <w:spacing w:line="572" w:lineRule="exact"/>
        <w:ind w:firstLine="1683" w:firstLineChars="526"/>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于  晶  镇纪委书记</w:t>
      </w:r>
    </w:p>
    <w:p>
      <w:pPr>
        <w:widowControl/>
        <w:shd w:val="clear" w:color="auto" w:fill="FFFFFF"/>
        <w:spacing w:line="572" w:lineRule="exact"/>
        <w:ind w:firstLine="1683" w:firstLineChars="526"/>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张弓元</w:t>
      </w:r>
      <w:r>
        <w:rPr>
          <w:rFonts w:hint="eastAsia" w:ascii="仿宋_GB2312" w:hAnsi="仿宋_GB2312" w:eastAsia="仿宋_GB2312" w:cs="仿宋_GB2312"/>
          <w:kern w:val="0"/>
          <w:sz w:val="32"/>
          <w:szCs w:val="32"/>
          <w:shd w:val="clear" w:color="auto" w:fill="FFFFFF"/>
        </w:rPr>
        <w:t xml:space="preserve">  政府副镇长</w:t>
      </w:r>
    </w:p>
    <w:p>
      <w:pPr>
        <w:widowControl/>
        <w:shd w:val="clear" w:color="auto" w:fill="FFFFFF"/>
        <w:spacing w:line="572" w:lineRule="exact"/>
        <w:ind w:firstLine="1683" w:firstLineChars="526"/>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柯大毅  财政所负责人</w:t>
      </w:r>
    </w:p>
    <w:p>
      <w:pPr>
        <w:widowControl/>
        <w:shd w:val="clear" w:color="auto" w:fill="FFFFFF"/>
        <w:spacing w:line="572" w:lineRule="exact"/>
        <w:ind w:firstLine="1683" w:firstLineChars="526"/>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成  员：全体机关干部、村支部书记、村委会主任</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办公室设在镇财政所，办公室主任由纪委书记于晶担任，成员由柯大毅、董秀芳两人组成。</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（二）项目管理情况。</w:t>
      </w:r>
      <w:r>
        <w:rPr>
          <w:rFonts w:hint="eastAsia" w:ascii="仿宋_GB2312" w:hAnsi="仿宋_GB2312" w:eastAsia="仿宋_GB2312" w:cs="仿宋_GB2312"/>
          <w:kern w:val="0"/>
          <w:sz w:val="32"/>
          <w:szCs w:val="32"/>
          <w:shd w:val="clear" w:color="auto" w:fill="FFFFFF"/>
        </w:rPr>
        <w:t>本项目采取项目工作领导小组负责制，全体成员积极配合、通力合作。项目工作领导小组负责协调相关工作，项目实施及资金管理。</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（三）项目监管情况。</w:t>
      </w:r>
      <w:r>
        <w:rPr>
          <w:rFonts w:hint="eastAsia" w:ascii="仿宋_GB2312" w:hAnsi="仿宋_GB2312" w:eastAsia="仿宋_GB2312" w:cs="仿宋_GB2312"/>
          <w:kern w:val="0"/>
          <w:sz w:val="32"/>
          <w:szCs w:val="32"/>
          <w:shd w:val="clear" w:color="auto" w:fill="FFFFFF"/>
        </w:rPr>
        <w:t>项目资金由镇财政所具体管理，按投资计划，制定管理制度，对项目资金按项目单独核算实行“专款专用、专人管理”，不得挤占挪用项目资金。强化监督，项目的正常实施监督检查是保障。指派专人长期对项目的实施定期或不定期的进行现场检查和监督，及时协调解决困难和问题，保证工程质量。</w:t>
      </w:r>
    </w:p>
    <w:p>
      <w:pPr>
        <w:widowControl/>
        <w:shd w:val="clear" w:color="auto" w:fill="FFFFFF"/>
        <w:spacing w:line="572" w:lineRule="exact"/>
        <w:ind w:firstLine="48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四、目标完成情况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（一）目标完成任务量。</w:t>
      </w:r>
      <w:r>
        <w:rPr>
          <w:rFonts w:hint="eastAsia" w:ascii="仿宋_GB2312" w:hAnsi="仿宋_GB2312" w:eastAsia="仿宋_GB2312" w:cs="仿宋_GB2312"/>
          <w:kern w:val="0"/>
          <w:sz w:val="32"/>
          <w:szCs w:val="32"/>
          <w:shd w:val="clear" w:color="auto" w:fill="FFFFFF"/>
        </w:rPr>
        <w:t>截止2021年12月21日，农村公共服务运行维护项目已经维护100%.</w:t>
      </w:r>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（二）目标完成质量。</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农村公共服务运行维护项目在上级有关部门的关心、帮助下、在乡党委、政府的领导下，顺利推进，圆满完成任务，维修基础设施12处，并经村民评价，满意度为100%；</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（三）目标完成进度。</w:t>
      </w:r>
      <w:r>
        <w:rPr>
          <w:rFonts w:hint="eastAsia" w:ascii="仿宋_GB2312" w:hAnsi="仿宋_GB2312" w:eastAsia="仿宋_GB2312" w:cs="仿宋_GB2312"/>
          <w:kern w:val="0"/>
          <w:sz w:val="32"/>
          <w:szCs w:val="32"/>
          <w:shd w:val="clear" w:color="auto" w:fill="FFFFFF"/>
        </w:rPr>
        <w:t>截止2021年12月，农村公共服务运行维护项目已完成100%.</w:t>
      </w:r>
    </w:p>
    <w:p>
      <w:pPr>
        <w:widowControl/>
        <w:shd w:val="clear" w:color="auto" w:fill="FFFFFF"/>
        <w:spacing w:line="572" w:lineRule="exact"/>
        <w:ind w:firstLine="48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五、项目效果情况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农村公共服务运行维护项目解决了4村1社区最急需、群众最急盼、收益最直接的突出问题。村道路维修、环境卫生保洁、产业管护等。村、社区居民群众及机关干部对维护项目的满意度为100%.</w:t>
      </w:r>
    </w:p>
    <w:p>
      <w:pPr>
        <w:widowControl/>
        <w:shd w:val="clear" w:color="auto" w:fill="FFFFFF"/>
        <w:spacing w:line="572" w:lineRule="exact"/>
        <w:ind w:firstLine="48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六、评价结论</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农村公共服务运行维护项目是国家一项长久的惠民政策，是贯彻落实统筹城乡发展战略的重要举措，是完善乡村治理机制的重要抓手，是加强基层民主政治建设的重要平台，是解决农村公共服务差异化需求的重要手段。改善了生活环境，提高了生活质量，稳定了基层党组织的运转。</w:t>
      </w:r>
    </w:p>
    <w:p>
      <w:pPr>
        <w:widowControl/>
        <w:shd w:val="clear" w:color="auto" w:fill="FFFFFF"/>
        <w:spacing w:line="572" w:lineRule="exact"/>
        <w:ind w:firstLine="48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七、存在的问题</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在项目的运行中，还存在进度缓慢的问题，建议在今后的农村公共服务运行维护项目中加强整体规划，融入天气、地理等因素，合理安排、精心规划，使其维护成高效高质的项目。</w:t>
      </w:r>
      <w:bookmarkStart w:id="32" w:name="_Toc5863"/>
    </w:p>
    <w:p>
      <w:pPr>
        <w:pStyle w:val="3"/>
        <w:rPr>
          <w:rFonts w:ascii="黑体" w:hAnsi="黑体" w:cs="黑体"/>
          <w:szCs w:val="44"/>
        </w:rPr>
      </w:pPr>
      <w:r>
        <w:rPr>
          <w:rFonts w:hint="eastAsia" w:ascii="黑体" w:hAnsi="黑体" w:cs="黑体"/>
          <w:szCs w:val="44"/>
        </w:rPr>
        <w:t>第五部分  附表</w:t>
      </w:r>
      <w:bookmarkEnd w:id="32"/>
    </w:p>
    <w:p>
      <w:pPr>
        <w:pStyle w:val="4"/>
      </w:pPr>
      <w:bookmarkStart w:id="33" w:name="_Toc10167"/>
      <w:r>
        <w:t>一、收入支出决算</w:t>
      </w:r>
      <w:r>
        <w:rPr>
          <w:rFonts w:hint="eastAsia"/>
        </w:rPr>
        <w:t>公开</w:t>
      </w:r>
      <w:r>
        <w:t>总表</w:t>
      </w:r>
      <w:bookmarkEnd w:id="33"/>
    </w:p>
    <w:p>
      <w:pPr>
        <w:pStyle w:val="4"/>
      </w:pPr>
      <w:bookmarkStart w:id="34" w:name="_Toc20720"/>
      <w:r>
        <w:t>二、</w:t>
      </w:r>
      <w:r>
        <w:rPr>
          <w:rFonts w:hint="eastAsia"/>
        </w:rPr>
        <w:t>收入决算公开表</w:t>
      </w:r>
      <w:bookmarkEnd w:id="34"/>
    </w:p>
    <w:p>
      <w:pPr>
        <w:pStyle w:val="4"/>
      </w:pPr>
      <w:bookmarkStart w:id="35" w:name="_Toc13118"/>
      <w:r>
        <w:t>三、</w:t>
      </w:r>
      <w:r>
        <w:rPr>
          <w:rFonts w:hint="eastAsia"/>
        </w:rPr>
        <w:t>支出决算公开表</w:t>
      </w:r>
      <w:bookmarkEnd w:id="35"/>
    </w:p>
    <w:p>
      <w:pPr>
        <w:pStyle w:val="4"/>
      </w:pPr>
      <w:bookmarkStart w:id="36" w:name="_Toc24471"/>
      <w:r>
        <w:t>四、</w:t>
      </w:r>
      <w:r>
        <w:rPr>
          <w:rFonts w:hint="eastAsia"/>
        </w:rPr>
        <w:t>财政拨款收入支出决算公开总表</w:t>
      </w:r>
      <w:bookmarkEnd w:id="36"/>
    </w:p>
    <w:p>
      <w:pPr>
        <w:pStyle w:val="4"/>
      </w:pPr>
      <w:bookmarkStart w:id="37" w:name="_Toc22832"/>
      <w:r>
        <w:t>五、</w:t>
      </w:r>
      <w:r>
        <w:rPr>
          <w:rFonts w:hint="eastAsia"/>
        </w:rPr>
        <w:t>财政拨款支出决算公开明细表</w:t>
      </w:r>
      <w:bookmarkEnd w:id="37"/>
    </w:p>
    <w:p>
      <w:pPr>
        <w:pStyle w:val="4"/>
      </w:pPr>
      <w:bookmarkStart w:id="38" w:name="_Toc18212"/>
      <w:r>
        <w:t>六、</w:t>
      </w:r>
      <w:r>
        <w:rPr>
          <w:rFonts w:hint="eastAsia"/>
        </w:rPr>
        <w:t>一般公共预算财政拨款支出决算公开表</w:t>
      </w:r>
      <w:bookmarkEnd w:id="38"/>
    </w:p>
    <w:p>
      <w:pPr>
        <w:pStyle w:val="4"/>
      </w:pPr>
      <w:bookmarkStart w:id="39" w:name="_Toc10494"/>
      <w:r>
        <w:t>七、</w:t>
      </w:r>
      <w:r>
        <w:rPr>
          <w:rFonts w:hint="eastAsia"/>
        </w:rPr>
        <w:t xml:space="preserve"> 一般公共预算财政拨款支出决算公开明细表</w:t>
      </w:r>
      <w:bookmarkEnd w:id="39"/>
    </w:p>
    <w:p>
      <w:pPr>
        <w:pStyle w:val="4"/>
      </w:pPr>
      <w:bookmarkStart w:id="40" w:name="_Toc3201"/>
      <w:r>
        <w:t>八、</w:t>
      </w:r>
      <w:r>
        <w:rPr>
          <w:rFonts w:hint="eastAsia"/>
        </w:rPr>
        <w:t>一般公共预算财政拨款基本支出决算公开表</w:t>
      </w:r>
      <w:bookmarkEnd w:id="40"/>
    </w:p>
    <w:p>
      <w:pPr>
        <w:pStyle w:val="4"/>
      </w:pPr>
      <w:bookmarkStart w:id="41" w:name="_Toc25142"/>
      <w:r>
        <w:t>九、</w:t>
      </w:r>
      <w:r>
        <w:rPr>
          <w:rFonts w:hint="eastAsia"/>
        </w:rPr>
        <w:t xml:space="preserve"> 一般公共预算财政拨款项目支出决算公开表</w:t>
      </w:r>
      <w:bookmarkEnd w:id="41"/>
    </w:p>
    <w:p>
      <w:pPr>
        <w:pStyle w:val="4"/>
      </w:pPr>
      <w:bookmarkStart w:id="42" w:name="_Toc19978"/>
      <w:r>
        <w:t>十、</w:t>
      </w:r>
      <w:r>
        <w:rPr>
          <w:rFonts w:hint="eastAsia"/>
        </w:rPr>
        <w:t>一般公共预算财政拨款“三公”经费支出决算公开表</w:t>
      </w:r>
      <w:bookmarkEnd w:id="42"/>
    </w:p>
    <w:p>
      <w:pPr>
        <w:pStyle w:val="4"/>
      </w:pPr>
      <w:bookmarkStart w:id="43" w:name="_Toc15018"/>
      <w:r>
        <w:t>十一、</w:t>
      </w:r>
      <w:r>
        <w:rPr>
          <w:rFonts w:hint="eastAsia"/>
        </w:rPr>
        <w:t xml:space="preserve"> 政府性基金预算财政拨款收入支出决算公开表</w:t>
      </w:r>
      <w:bookmarkEnd w:id="43"/>
    </w:p>
    <w:p>
      <w:pPr>
        <w:pStyle w:val="4"/>
      </w:pPr>
      <w:bookmarkStart w:id="44" w:name="_Toc16291"/>
      <w:r>
        <w:t>十二、</w:t>
      </w:r>
      <w:r>
        <w:rPr>
          <w:rFonts w:hint="eastAsia"/>
        </w:rPr>
        <w:t xml:space="preserve"> 政府性基金预算财政拨款“三公”经费支出决算公开表</w:t>
      </w:r>
      <w:bookmarkEnd w:id="44"/>
    </w:p>
    <w:p>
      <w:pPr>
        <w:pStyle w:val="4"/>
      </w:pPr>
      <w:bookmarkStart w:id="45" w:name="_Toc32412"/>
      <w:r>
        <w:t>十三、</w:t>
      </w:r>
      <w:r>
        <w:rPr>
          <w:rFonts w:hint="eastAsia"/>
        </w:rPr>
        <w:t>国有资本经营预算财政拨款收入支出决算公开表</w:t>
      </w:r>
      <w:bookmarkEnd w:id="45"/>
    </w:p>
    <w:p>
      <w:pPr>
        <w:pStyle w:val="4"/>
        <w:rPr>
          <w:szCs w:val="32"/>
        </w:rPr>
      </w:pPr>
      <w:bookmarkStart w:id="46" w:name="_Toc3249"/>
      <w:r>
        <w:rPr>
          <w:rFonts w:hint="eastAsia"/>
        </w:rPr>
        <w:t>十四、国有资本经营预算财政拨款支出决算公开表</w:t>
      </w:r>
      <w:bookmarkEnd w:id="46"/>
    </w:p>
    <w:sectPr>
      <w:footerReference r:id="rId4"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12</w:t>
                </w:r>
                <w:r>
                  <w:fldChar w:fldCharType="end"/>
                </w:r>
              </w:p>
            </w:txbxContent>
          </v:textbox>
        </v:shape>
      </w:pict>
    </w: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6"/>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JkZDQ4ZmJhYzFhNWFkNGNkZmE3MjNhNGY1ZjBlYmQifQ=="/>
  </w:docVars>
  <w:rsids>
    <w:rsidRoot w:val="00326F82"/>
    <w:rsid w:val="000E36EF"/>
    <w:rsid w:val="00245AB8"/>
    <w:rsid w:val="00326F82"/>
    <w:rsid w:val="00414AAD"/>
    <w:rsid w:val="0042445B"/>
    <w:rsid w:val="00476596"/>
    <w:rsid w:val="004F04D6"/>
    <w:rsid w:val="00551238"/>
    <w:rsid w:val="00551EFD"/>
    <w:rsid w:val="006864D7"/>
    <w:rsid w:val="006955D9"/>
    <w:rsid w:val="0074136D"/>
    <w:rsid w:val="00763FCB"/>
    <w:rsid w:val="008B2E2C"/>
    <w:rsid w:val="008B3631"/>
    <w:rsid w:val="008C3879"/>
    <w:rsid w:val="009E0676"/>
    <w:rsid w:val="00A05E55"/>
    <w:rsid w:val="00AA3A70"/>
    <w:rsid w:val="00AA79F5"/>
    <w:rsid w:val="00B3191A"/>
    <w:rsid w:val="00C5329B"/>
    <w:rsid w:val="00CD1C86"/>
    <w:rsid w:val="00D935F6"/>
    <w:rsid w:val="00F50565"/>
    <w:rsid w:val="02901815"/>
    <w:rsid w:val="04E80E2D"/>
    <w:rsid w:val="053E1887"/>
    <w:rsid w:val="182D08E7"/>
    <w:rsid w:val="321300FE"/>
    <w:rsid w:val="3E5A1C65"/>
    <w:rsid w:val="42434E32"/>
    <w:rsid w:val="44714CB2"/>
    <w:rsid w:val="65DC31DC"/>
    <w:rsid w:val="775D2D97"/>
    <w:rsid w:val="787463B0"/>
    <w:rsid w:val="7C50507A"/>
    <w:rsid w:val="7FE97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kern w:val="44"/>
      <w:sz w:val="44"/>
    </w:rPr>
  </w:style>
  <w:style w:type="paragraph" w:styleId="4">
    <w:name w:val="heading 2"/>
    <w:basedOn w:val="1"/>
    <w:next w:val="1"/>
    <w:unhideWhenUsed/>
    <w:qFormat/>
    <w:uiPriority w:val="0"/>
    <w:pPr>
      <w:keepNext/>
      <w:keepLines/>
      <w:spacing w:line="413" w:lineRule="auto"/>
      <w:outlineLvl w:val="1"/>
    </w:pPr>
    <w:rPr>
      <w:rFonts w:ascii="Arial" w:hAnsi="Arial" w:eastAsia="黑体"/>
      <w:sz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Hyperlink"/>
    <w:basedOn w:val="12"/>
    <w:unhideWhenUsed/>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Info spid="_x0000_s2051"/>
    <customShpInfo spid="_x0000_s2053"/>
    <customShpInfo spid="_x0000_s2054"/>
    <customShpInfo spid="_x0000_s2055"/>
    <customShpInfo spid="_x0000_s2056"/>
    <customShpInfo spid="_x0000_s2058"/>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8541</Words>
  <Characters>9109</Characters>
  <Lines>79</Lines>
  <Paragraphs>22</Paragraphs>
  <TotalTime>1</TotalTime>
  <ScaleCrop>false</ScaleCrop>
  <LinksUpToDate>false</LinksUpToDate>
  <CharactersWithSpaces>9193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2022-09-23T08:31:00Z</dcterms:created>
  <dc:creator>Administrator</dc:creator>
  <cp:lastModifiedBy>lie to me</cp:lastModifiedBy>
  <dcterms:modified xsi:type="dcterms:W3CDTF">2022-09-30T08:51:14Z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27D0E4CC972341BE812C103BA48F8061</vt:lpwstr>
  </property>
</Properties>
</file>